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69" w:rsidRPr="00236202" w:rsidRDefault="00927569" w:rsidP="00F47E7C">
      <w:pPr>
        <w:pBdr>
          <w:top w:val="single" w:sz="4" w:space="1" w:color="auto"/>
          <w:left w:val="single" w:sz="4" w:space="4" w:color="auto"/>
          <w:bottom w:val="single" w:sz="4" w:space="0" w:color="auto"/>
          <w:right w:val="single" w:sz="4" w:space="4" w:color="auto"/>
        </w:pBdr>
        <w:spacing w:after="0" w:line="288" w:lineRule="auto"/>
        <w:jc w:val="both"/>
        <w:rPr>
          <w:b/>
          <w:sz w:val="23"/>
          <w:szCs w:val="23"/>
        </w:rPr>
      </w:pPr>
      <w:r w:rsidRPr="00477843">
        <w:rPr>
          <w:sz w:val="23"/>
          <w:szCs w:val="23"/>
        </w:rPr>
        <w:t>O</w:t>
      </w:r>
      <w:r>
        <w:rPr>
          <w:sz w:val="23"/>
          <w:szCs w:val="23"/>
        </w:rPr>
        <w:t>GGETTO</w:t>
      </w:r>
      <w:r w:rsidRPr="00477843">
        <w:rPr>
          <w:sz w:val="23"/>
          <w:szCs w:val="23"/>
        </w:rPr>
        <w:t>:</w:t>
      </w:r>
      <w:r w:rsidRPr="00236202">
        <w:rPr>
          <w:b/>
          <w:sz w:val="23"/>
          <w:szCs w:val="23"/>
        </w:rPr>
        <w:t xml:space="preserve"> Riordino delle partecipazioni societarie afferenti la gestione del servizio integrato dei rifiuti urbani.</w:t>
      </w:r>
    </w:p>
    <w:p w:rsidR="00927569" w:rsidRPr="00236202" w:rsidRDefault="00927569" w:rsidP="00AA3EFE">
      <w:pPr>
        <w:spacing w:after="0" w:line="288" w:lineRule="auto"/>
        <w:jc w:val="center"/>
        <w:rPr>
          <w:b/>
          <w:sz w:val="23"/>
          <w:szCs w:val="23"/>
        </w:rPr>
      </w:pPr>
    </w:p>
    <w:p w:rsidR="00927569" w:rsidRPr="00D30A91" w:rsidRDefault="00927569" w:rsidP="00AA3EFE">
      <w:pPr>
        <w:spacing w:after="0" w:line="288" w:lineRule="auto"/>
        <w:jc w:val="center"/>
        <w:rPr>
          <w:b/>
        </w:rPr>
      </w:pPr>
      <w:r w:rsidRPr="00D30A91">
        <w:rPr>
          <w:b/>
        </w:rPr>
        <w:t>IL CONSIGLIO COMUNALE</w:t>
      </w:r>
    </w:p>
    <w:p w:rsidR="00927569" w:rsidRPr="00477843" w:rsidRDefault="00927569" w:rsidP="00AA3EFE">
      <w:pPr>
        <w:spacing w:after="0" w:line="288" w:lineRule="auto"/>
        <w:jc w:val="both"/>
        <w:rPr>
          <w:color w:val="000000"/>
        </w:rPr>
      </w:pPr>
      <w:r>
        <w:rPr>
          <w:b/>
          <w:color w:val="000000"/>
        </w:rPr>
        <w:t xml:space="preserve">PREMESSO </w:t>
      </w:r>
      <w:r w:rsidRPr="00477843">
        <w:rPr>
          <w:color w:val="000000"/>
        </w:rPr>
        <w:t>che:</w:t>
      </w:r>
    </w:p>
    <w:p w:rsidR="00927569" w:rsidRPr="00144167" w:rsidRDefault="00927569" w:rsidP="00AA3EFE">
      <w:pPr>
        <w:numPr>
          <w:ilvl w:val="0"/>
          <w:numId w:val="21"/>
        </w:numPr>
        <w:spacing w:after="0" w:line="288" w:lineRule="auto"/>
        <w:ind w:left="426"/>
        <w:jc w:val="both"/>
      </w:pPr>
      <w:r w:rsidRPr="00D30A91">
        <w:rPr>
          <w:color w:val="000000"/>
        </w:rPr>
        <w:t xml:space="preserve">con l’art. 31 della L.R. 69/2011 </w:t>
      </w:r>
      <w:r>
        <w:rPr>
          <w:color w:val="000000"/>
        </w:rPr>
        <w:t>è stata istituita, per ciascun ambito territoriale o</w:t>
      </w:r>
      <w:r w:rsidRPr="00D30A91">
        <w:rPr>
          <w:color w:val="000000"/>
        </w:rPr>
        <w:t xml:space="preserve">ttimale </w:t>
      </w:r>
      <w:r>
        <w:rPr>
          <w:color w:val="000000"/>
        </w:rPr>
        <w:t xml:space="preserve">(ATO) </w:t>
      </w:r>
      <w:r w:rsidRPr="00D30A91">
        <w:rPr>
          <w:color w:val="000000"/>
        </w:rPr>
        <w:t xml:space="preserve">della Regione </w:t>
      </w:r>
      <w:r>
        <w:t>Toscana, l’Autorità per il servizio di gestione i</w:t>
      </w:r>
      <w:r w:rsidRPr="00144167">
        <w:t xml:space="preserve">ntegrata dei </w:t>
      </w:r>
      <w:r>
        <w:t xml:space="preserve">rifiuti urbani (Autorità) </w:t>
      </w:r>
      <w:r w:rsidRPr="00144167">
        <w:t>con “</w:t>
      </w:r>
      <w:r w:rsidRPr="00144167">
        <w:rPr>
          <w:i/>
        </w:rPr>
        <w:t>funzioni di programmazione, organizzazione e controllo sull’attività di gestione del servizio</w:t>
      </w:r>
      <w:r w:rsidRPr="00144167">
        <w:t>”;</w:t>
      </w:r>
    </w:p>
    <w:p w:rsidR="00927569" w:rsidRPr="00144167" w:rsidRDefault="00927569" w:rsidP="00AA3EFE">
      <w:pPr>
        <w:numPr>
          <w:ilvl w:val="0"/>
          <w:numId w:val="21"/>
        </w:numPr>
        <w:spacing w:after="0" w:line="288" w:lineRule="auto"/>
        <w:ind w:left="426"/>
        <w:jc w:val="both"/>
      </w:pPr>
      <w:r>
        <w:t>questo Comune rientra nell’ambito territoriale o</w:t>
      </w:r>
      <w:r w:rsidRPr="00144167">
        <w:t xml:space="preserve">ttimale denominato “ATO Toscana Costa”, come stabilito dall’art. 30 della L.R. 69/2011, che comprende i comuni appartenenti alle </w:t>
      </w:r>
      <w:r>
        <w:t>p</w:t>
      </w:r>
      <w:r w:rsidRPr="00144167">
        <w:t>rovince di Livorno, Lucca, Massa Carrara e Pisa;</w:t>
      </w:r>
    </w:p>
    <w:p w:rsidR="00927569" w:rsidRPr="00144167" w:rsidRDefault="00927569" w:rsidP="00AA3EFE">
      <w:pPr>
        <w:numPr>
          <w:ilvl w:val="0"/>
          <w:numId w:val="21"/>
        </w:numPr>
        <w:spacing w:after="0" w:line="288" w:lineRule="auto"/>
        <w:ind w:left="426"/>
        <w:jc w:val="both"/>
      </w:pPr>
      <w:r w:rsidRPr="00144167">
        <w:t>la Comunità di Ambito ATO Toscana Costa, con delibera</w:t>
      </w:r>
      <w:r>
        <w:t>zione</w:t>
      </w:r>
      <w:r w:rsidRPr="00144167">
        <w:t xml:space="preserve"> dell’Assemblea consortile n. 3 del 23.02.2011</w:t>
      </w:r>
      <w:r>
        <w:t>,</w:t>
      </w:r>
      <w:r w:rsidRPr="00144167">
        <w:t xml:space="preserve">ha individuato il modello della </w:t>
      </w:r>
      <w:r>
        <w:t>“</w:t>
      </w:r>
      <w:r w:rsidRPr="00477843">
        <w:t>società mista</w:t>
      </w:r>
      <w:r>
        <w:t xml:space="preserve">” quale modalità </w:t>
      </w:r>
      <w:r w:rsidRPr="00144167">
        <w:t>di gestione</w:t>
      </w:r>
      <w:r>
        <w:t xml:space="preserve"> del servizio</w:t>
      </w:r>
      <w:r w:rsidRPr="00144167">
        <w:t xml:space="preserve"> integrato dei rifiuti urbani</w:t>
      </w:r>
      <w:r>
        <w:t xml:space="preserve"> a livello di ambito</w:t>
      </w:r>
      <w:r w:rsidRPr="00144167">
        <w:t>;</w:t>
      </w:r>
    </w:p>
    <w:p w:rsidR="00927569" w:rsidRPr="00144167" w:rsidRDefault="00927569" w:rsidP="00AA3EFE">
      <w:pPr>
        <w:numPr>
          <w:ilvl w:val="0"/>
          <w:numId w:val="21"/>
        </w:numPr>
        <w:spacing w:after="0" w:line="288" w:lineRule="auto"/>
        <w:ind w:left="426"/>
        <w:jc w:val="both"/>
      </w:pPr>
      <w:r w:rsidRPr="00144167">
        <w:t xml:space="preserve">la scelta della </w:t>
      </w:r>
      <w:r w:rsidRPr="00477843">
        <w:t>società mista</w:t>
      </w:r>
      <w:r w:rsidRPr="00144167">
        <w:t xml:space="preserve">, il cui socio privato </w:t>
      </w:r>
      <w:r>
        <w:t xml:space="preserve">a carattere </w:t>
      </w:r>
      <w:r w:rsidRPr="00144167">
        <w:t>industriale deve essere selezionato con procedura di gara ad evidenza pubblica, è stata riconfermata con plurime deliberazioni successive della Co</w:t>
      </w:r>
      <w:r>
        <w:t>munità d’Ambito e dell’Autorità,</w:t>
      </w:r>
      <w:r w:rsidRPr="00144167">
        <w:t xml:space="preserve"> che alla</w:t>
      </w:r>
      <w:r>
        <w:t xml:space="preserve"> prima </w:t>
      </w:r>
      <w:r w:rsidRPr="00144167">
        <w:t>è succeduta in virtù d</w:t>
      </w:r>
      <w:r>
        <w:t xml:space="preserve">i quanto previsto dalla L.R. </w:t>
      </w:r>
      <w:r w:rsidRPr="00144167">
        <w:t>69/2011;</w:t>
      </w:r>
    </w:p>
    <w:p w:rsidR="00927569" w:rsidRPr="00144167" w:rsidRDefault="00927569" w:rsidP="00AA3EFE">
      <w:pPr>
        <w:numPr>
          <w:ilvl w:val="0"/>
          <w:numId w:val="21"/>
        </w:numPr>
        <w:spacing w:after="0" w:line="288" w:lineRule="auto"/>
        <w:ind w:left="426"/>
        <w:jc w:val="both"/>
      </w:pPr>
      <w:r w:rsidRPr="00144167">
        <w:t xml:space="preserve">la </w:t>
      </w:r>
      <w:r w:rsidRPr="00477843">
        <w:t>società mista</w:t>
      </w:r>
      <w:r w:rsidRPr="00144167">
        <w:t>, così configurata, corrisponde al modello comunitario del “partenariato pubblico privato di tipo istituzionale” e trova la sua fonte, oltre che nelle norme interne, nel medesimo diritto comunitario, ed essa presuppone una procedura di selezione del socio privato mediante gara “a doppio oggetto”, relativa sia all’acquisizione della qualità di socio che all’affidamento allo stesso di “specifici compiti operativi” connessi alla gestione del servizio, e</w:t>
      </w:r>
      <w:r>
        <w:t>,</w:t>
      </w:r>
      <w:r w:rsidRPr="00144167">
        <w:t xml:space="preserve"> sulla base di tali premesse, la scelta di detta forma di affidamento è stata riconfermata pur a fronte delle diverse modifiche normative intervenute nell’ambito della disciplina interna in materia di servizi pubblici locali aventi rilevanza economica;</w:t>
      </w:r>
    </w:p>
    <w:p w:rsidR="00927569" w:rsidRPr="00144167" w:rsidRDefault="00927569" w:rsidP="00AA3EFE">
      <w:pPr>
        <w:numPr>
          <w:ilvl w:val="0"/>
          <w:numId w:val="21"/>
        </w:numPr>
        <w:spacing w:after="0" w:line="288" w:lineRule="auto"/>
        <w:ind w:left="426"/>
        <w:jc w:val="both"/>
      </w:pPr>
      <w:r w:rsidRPr="00144167">
        <w:t>tale riconferma si è in particolare avuta con le delibere dell’Assemblea della Comunità d</w:t>
      </w:r>
      <w:r>
        <w:t xml:space="preserve">i </w:t>
      </w:r>
      <w:r w:rsidRPr="00144167">
        <w:t>Ambito n. 6 del 31.05.2011 e n. 9 del 28.09.2011, oltre che con la successiva delibera dell’Autorità n. 14 del 27.11.2012, e con deliberazione n. 10 del 28.09.2011 sono stati fissati i criteri e gli indirizzi sia per l’adesione dei comuni</w:t>
      </w:r>
      <w:r>
        <w:t xml:space="preserve"> alla costituenda società mista</w:t>
      </w:r>
      <w:r w:rsidRPr="00144167">
        <w:t xml:space="preserve"> che per lo svolgimento della procedura di gara per la scelta del socio privato;</w:t>
      </w:r>
    </w:p>
    <w:p w:rsidR="00927569" w:rsidRPr="00144167" w:rsidRDefault="00927569" w:rsidP="00AA3EFE">
      <w:pPr>
        <w:numPr>
          <w:ilvl w:val="0"/>
          <w:numId w:val="21"/>
        </w:numPr>
        <w:spacing w:after="0" w:line="288" w:lineRule="auto"/>
        <w:ind w:left="426"/>
        <w:jc w:val="both"/>
      </w:pPr>
      <w:r>
        <w:t>i c</w:t>
      </w:r>
      <w:r w:rsidRPr="00144167">
        <w:t>omuni</w:t>
      </w:r>
      <w:r>
        <w:t xml:space="preserve"> </w:t>
      </w:r>
      <w:r w:rsidRPr="00144167">
        <w:t>appartenenti all’ATO</w:t>
      </w:r>
      <w:r>
        <w:t xml:space="preserve"> </w:t>
      </w:r>
      <w:r w:rsidRPr="00144167">
        <w:t>Toscana Costa,con la citata deliberazione n. 3 del23.02.2011 e per il tramite della sottoscrizione del Protocollo di Intesa ad essa allegato</w:t>
      </w:r>
      <w:r>
        <w:t>,</w:t>
      </w:r>
      <w:r w:rsidRPr="00144167">
        <w:t xml:space="preserve"> hanno </w:t>
      </w:r>
      <w:r>
        <w:t>individuato</w:t>
      </w:r>
      <w:r w:rsidRPr="00144167">
        <w:t xml:space="preserve"> la Comunità d</w:t>
      </w:r>
      <w:r>
        <w:t xml:space="preserve">i </w:t>
      </w:r>
      <w:r w:rsidRPr="00144167">
        <w:t xml:space="preserve">Ambito </w:t>
      </w:r>
      <w:r>
        <w:t xml:space="preserve">quale soggetto preposto a </w:t>
      </w:r>
      <w:r w:rsidRPr="00144167">
        <w:t>svolg</w:t>
      </w:r>
      <w:r>
        <w:t xml:space="preserve">ere </w:t>
      </w:r>
      <w:r w:rsidRPr="00144167">
        <w:t xml:space="preserve">la gara per la scelta del socio privato, specificando che </w:t>
      </w:r>
      <w:r>
        <w:t>tale ruolo sarebbe stato esteso</w:t>
      </w:r>
      <w:r w:rsidRPr="00144167">
        <w:t xml:space="preserve"> al nuovo soggetto </w:t>
      </w:r>
      <w:r>
        <w:t xml:space="preserve">che </w:t>
      </w:r>
      <w:r w:rsidRPr="00144167">
        <w:t>la Regione Toscana av</w:t>
      </w:r>
      <w:r>
        <w:t>esse</w:t>
      </w:r>
      <w:r w:rsidRPr="00144167">
        <w:t xml:space="preserve"> individuato i</w:t>
      </w:r>
      <w:r>
        <w:t xml:space="preserve">n sostituzione della Comunità di </w:t>
      </w:r>
      <w:r w:rsidRPr="00144167">
        <w:t>Ambito, in applicazione di quan</w:t>
      </w:r>
      <w:r>
        <w:t>to stabilito dall’articolo 2, comma 186-</w:t>
      </w:r>
      <w:r w:rsidRPr="00AA6858">
        <w:t>bis</w:t>
      </w:r>
      <w:r w:rsidRPr="00144167">
        <w:t>, della L. 191/2009, come poi avvenuto a partire dal</w:t>
      </w:r>
      <w:r>
        <w:t xml:space="preserve"> 01.01.2012 quando, per effetto della L.R. 69/2011,</w:t>
      </w:r>
      <w:r w:rsidRPr="00144167">
        <w:t xml:space="preserve"> è stata </w:t>
      </w:r>
      <w:r>
        <w:t xml:space="preserve">appunto </w:t>
      </w:r>
      <w:r w:rsidRPr="00144167">
        <w:t xml:space="preserve">istituita l’Autorità per il servizio di gestione integrata </w:t>
      </w:r>
      <w:r>
        <w:t xml:space="preserve">dei </w:t>
      </w:r>
      <w:r w:rsidRPr="00144167">
        <w:t>rifiuti urbani ATO Toscana Costa;</w:t>
      </w:r>
    </w:p>
    <w:p w:rsidR="00927569" w:rsidRPr="00144167" w:rsidRDefault="00927569" w:rsidP="00AA3EFE">
      <w:pPr>
        <w:numPr>
          <w:ilvl w:val="0"/>
          <w:numId w:val="21"/>
        </w:numPr>
        <w:spacing w:after="0" w:line="288" w:lineRule="auto"/>
        <w:ind w:left="426"/>
        <w:jc w:val="both"/>
      </w:pPr>
      <w:r w:rsidRPr="00144167">
        <w:t>la citata delibera. 10 del 28.09.2011 ha, tra l’altro, fissato le seguenti fasi per l’adesione dei comuni alla costituenda società mista e per i successivi aumenti di capitale:</w:t>
      </w:r>
    </w:p>
    <w:p w:rsidR="00927569" w:rsidRPr="00144167" w:rsidRDefault="00927569" w:rsidP="00AA3EFE">
      <w:pPr>
        <w:numPr>
          <w:ilvl w:val="0"/>
          <w:numId w:val="2"/>
        </w:numPr>
        <w:spacing w:after="0" w:line="288" w:lineRule="auto"/>
        <w:ind w:left="993"/>
        <w:jc w:val="both"/>
      </w:pPr>
      <w:r w:rsidRPr="00144167">
        <w:t xml:space="preserve">prima fase: </w:t>
      </w:r>
      <w:r>
        <w:t>i soci pubblici (ossia tutti i c</w:t>
      </w:r>
      <w:r w:rsidRPr="00144167">
        <w:t xml:space="preserve">omuni aderenti </w:t>
      </w:r>
      <w:r>
        <w:t>dell</w:t>
      </w:r>
      <w:r w:rsidRPr="00144167">
        <w:t xml:space="preserve">’ATO Toscana Costa) costituiscono una </w:t>
      </w:r>
      <w:r>
        <w:rPr>
          <w:i/>
        </w:rPr>
        <w:t>new c</w:t>
      </w:r>
      <w:r w:rsidRPr="00144167">
        <w:rPr>
          <w:i/>
        </w:rPr>
        <w:t>o.</w:t>
      </w:r>
      <w:r w:rsidRPr="00144167">
        <w:t xml:space="preserve"> con forma giuridica di società per azioni e con capitale sociale, da conferire in denaro, entro i valori minimi previsti dalla legge;</w:t>
      </w:r>
    </w:p>
    <w:p w:rsidR="00927569" w:rsidRPr="00144167" w:rsidRDefault="00927569" w:rsidP="00AA3EFE">
      <w:pPr>
        <w:numPr>
          <w:ilvl w:val="0"/>
          <w:numId w:val="2"/>
        </w:numPr>
        <w:spacing w:after="0" w:line="288" w:lineRule="auto"/>
        <w:ind w:left="993"/>
        <w:jc w:val="both"/>
      </w:pPr>
      <w:r w:rsidRPr="00144167">
        <w:t xml:space="preserve">seconda fase: il capitale sociale “minimo” deve essere aumentato (1° aumento di capitale sociale) </w:t>
      </w:r>
      <w:r>
        <w:t xml:space="preserve">da parte dei comuni </w:t>
      </w:r>
      <w:r w:rsidRPr="00144167">
        <w:t>mediante conferimento in natura</w:t>
      </w:r>
      <w:r>
        <w:t>,</w:t>
      </w:r>
      <w:r w:rsidRPr="00144167">
        <w:t xml:space="preserve"> ex art. 2343 e ss. </w:t>
      </w:r>
      <w:r>
        <w:t>del Codice Civile, d</w:t>
      </w:r>
      <w:r w:rsidRPr="00144167">
        <w:t xml:space="preserve">ei propri </w:t>
      </w:r>
      <w:r w:rsidRPr="00144167">
        <w:rPr>
          <w:i/>
        </w:rPr>
        <w:t>assets</w:t>
      </w:r>
      <w:r w:rsidRPr="00144167">
        <w:t xml:space="preserve"> patrimoniali;</w:t>
      </w:r>
    </w:p>
    <w:p w:rsidR="00927569" w:rsidRPr="00144167" w:rsidRDefault="00927569" w:rsidP="00AA3EFE">
      <w:pPr>
        <w:numPr>
          <w:ilvl w:val="0"/>
          <w:numId w:val="2"/>
        </w:numPr>
        <w:spacing w:after="0" w:line="288" w:lineRule="auto"/>
        <w:ind w:left="993"/>
        <w:jc w:val="both"/>
      </w:pPr>
      <w:r w:rsidRPr="00144167">
        <w:t>terza fase: all’esito dell’aggiudicazione della gara per la scelta del socio privato il capitale sociale sarà nuovamente aumentato (2° aumento di capitale) mediante un aumento riservato al socio privato così selezionato</w:t>
      </w:r>
      <w:r>
        <w:t>,</w:t>
      </w:r>
      <w:r w:rsidRPr="00144167">
        <w:t xml:space="preserve"> in misura corrispondente all’offerta eco</w:t>
      </w:r>
      <w:r>
        <w:t>nomica risultata aggiudicataria;</w:t>
      </w:r>
    </w:p>
    <w:p w:rsidR="00927569" w:rsidRPr="00144167" w:rsidRDefault="00927569" w:rsidP="00AA3EFE">
      <w:pPr>
        <w:pStyle w:val="ListParagraph"/>
        <w:numPr>
          <w:ilvl w:val="0"/>
          <w:numId w:val="11"/>
        </w:numPr>
        <w:autoSpaceDE w:val="0"/>
        <w:autoSpaceDN w:val="0"/>
        <w:adjustRightInd w:val="0"/>
        <w:spacing w:after="0" w:line="288" w:lineRule="auto"/>
        <w:ind w:left="426" w:hanging="357"/>
        <w:jc w:val="both"/>
      </w:pPr>
      <w:r w:rsidRPr="00144167">
        <w:t xml:space="preserve">con Delibera </w:t>
      </w:r>
      <w:r>
        <w:t xml:space="preserve">del </w:t>
      </w:r>
      <w:r w:rsidRPr="00144167">
        <w:t>C.C.</w:t>
      </w:r>
      <w:r>
        <w:t xml:space="preserve"> N.58 del 16/11/2011</w:t>
      </w:r>
      <w:r w:rsidRPr="00144167">
        <w:t xml:space="preserve">, il Comune di </w:t>
      </w:r>
      <w:r>
        <w:t xml:space="preserve">Ponsacco </w:t>
      </w:r>
      <w:r w:rsidRPr="00144167">
        <w:t>ha aderito al processo di costituzione della società mista per lo svolgimento del servizio integrato di gestione dei rifiuti;</w:t>
      </w:r>
    </w:p>
    <w:p w:rsidR="00927569" w:rsidRPr="00714EC8" w:rsidRDefault="00927569" w:rsidP="00714EC8">
      <w:pPr>
        <w:pStyle w:val="ListParagraph"/>
        <w:numPr>
          <w:ilvl w:val="0"/>
          <w:numId w:val="11"/>
        </w:numPr>
        <w:autoSpaceDE w:val="0"/>
        <w:autoSpaceDN w:val="0"/>
        <w:adjustRightInd w:val="0"/>
        <w:spacing w:after="0" w:line="288" w:lineRule="auto"/>
        <w:ind w:left="426" w:hanging="357"/>
        <w:jc w:val="both"/>
      </w:pPr>
      <w:r w:rsidRPr="00144167">
        <w:t>in data 16.12.2011 è stata costituita in Pisa, con atto ai rogiti del Notaio d</w:t>
      </w:r>
      <w:r>
        <w:t>ott. Massimo Cariello, r</w:t>
      </w:r>
      <w:r w:rsidRPr="00144167">
        <w:t xml:space="preserve">ep. 18584, </w:t>
      </w:r>
      <w:r>
        <w:t>r</w:t>
      </w:r>
      <w:r w:rsidRPr="00144167">
        <w:t xml:space="preserve">acc. 6623, la </w:t>
      </w:r>
      <w:r w:rsidRPr="00AA6858">
        <w:t xml:space="preserve">società </w:t>
      </w:r>
      <w:r>
        <w:t xml:space="preserve">interamente </w:t>
      </w:r>
      <w:r w:rsidRPr="00AA6858">
        <w:t>pubblica</w:t>
      </w:r>
      <w:r w:rsidRPr="00144167">
        <w:t xml:space="preserve"> RetiAmbiente S.p.A., con capitale sociale di € 120.000,00</w:t>
      </w:r>
      <w:r>
        <w:t>,</w:t>
      </w:r>
      <w:r w:rsidRPr="00144167">
        <w:t xml:space="preserve"> sottoscritto da 95 dei 111 comuni che allora appartenevano all’ATO Toscana Costa;</w:t>
      </w:r>
    </w:p>
    <w:p w:rsidR="00927569" w:rsidRPr="00144167" w:rsidRDefault="00927569" w:rsidP="00AA3EFE">
      <w:pPr>
        <w:pStyle w:val="ListParagraph"/>
        <w:numPr>
          <w:ilvl w:val="0"/>
          <w:numId w:val="11"/>
        </w:numPr>
        <w:autoSpaceDE w:val="0"/>
        <w:autoSpaceDN w:val="0"/>
        <w:adjustRightInd w:val="0"/>
        <w:spacing w:after="0" w:line="288" w:lineRule="auto"/>
        <w:ind w:left="426" w:hanging="357"/>
        <w:jc w:val="both"/>
      </w:pPr>
      <w:r w:rsidRPr="00144167">
        <w:t>in data 28.12.2011 la Comunità di Ambito ATO Toscana Costa ha dato avvio alla procedura di gara per la scelta del socio privato destinato ad acquisire una partecipazione azionaria pari al 45% del capitale sociale di RetiAmbiente S.p.A.;</w:t>
      </w:r>
    </w:p>
    <w:p w:rsidR="00927569" w:rsidRPr="00144167" w:rsidRDefault="00927569" w:rsidP="00AA3EFE">
      <w:pPr>
        <w:pStyle w:val="ListParagraph"/>
        <w:numPr>
          <w:ilvl w:val="0"/>
          <w:numId w:val="11"/>
        </w:numPr>
        <w:autoSpaceDE w:val="0"/>
        <w:autoSpaceDN w:val="0"/>
        <w:adjustRightInd w:val="0"/>
        <w:spacing w:after="0" w:line="288" w:lineRule="auto"/>
        <w:ind w:left="426" w:hanging="357"/>
        <w:jc w:val="both"/>
      </w:pPr>
      <w:r w:rsidRPr="00144167">
        <w:t xml:space="preserve">ai fini del conferimento dei loro </w:t>
      </w:r>
      <w:r w:rsidRPr="00144167">
        <w:rPr>
          <w:i/>
        </w:rPr>
        <w:t>assets</w:t>
      </w:r>
      <w:r w:rsidRPr="00144167">
        <w:t xml:space="preserve"> patrimoniali in RetiAmbiente S.p.A.</w:t>
      </w:r>
      <w:r>
        <w:t xml:space="preserve">, i comuni possono fare riferimento </w:t>
      </w:r>
      <w:r w:rsidRPr="00144167">
        <w:t>alla facoltà prevista d</w:t>
      </w:r>
      <w:r>
        <w:t>all’art. 2343-</w:t>
      </w:r>
      <w:r w:rsidRPr="00AA6858">
        <w:t>ter,</w:t>
      </w:r>
      <w:r w:rsidRPr="00144167">
        <w:t xml:space="preserve"> comma 2, lett. b)</w:t>
      </w:r>
      <w:r>
        <w:t>, del Codice C</w:t>
      </w:r>
      <w:r w:rsidRPr="00144167">
        <w:t>ivile, per il quale il conferimento di beni in natura può essere effettuato “</w:t>
      </w:r>
      <w:r w:rsidRPr="00144167">
        <w:rPr>
          <w:i/>
        </w:rPr>
        <w:t>al valore risultante da una valutazione riferita ad una data precedente di non oltre sei mesi il conferimento e conforme ai principi e criteri direttivi generalmente riconosciuti per la valutazione dei beni oggetto del conferimento a condizione che essa provenga da un esperto indipendente da chi effettua il conferimento, dalla società e dai soci che esercitano individualmente o congiuntamente il controllo sul soggetto conferente o sulla società medesima, dotato di adeguata e comprovata professionalità</w:t>
      </w:r>
      <w:r>
        <w:t>”;</w:t>
      </w:r>
    </w:p>
    <w:p w:rsidR="00927569" w:rsidRPr="00144167" w:rsidRDefault="00927569" w:rsidP="00AA3EFE">
      <w:pPr>
        <w:pStyle w:val="ListParagraph"/>
        <w:numPr>
          <w:ilvl w:val="0"/>
          <w:numId w:val="11"/>
        </w:numPr>
        <w:autoSpaceDE w:val="0"/>
        <w:autoSpaceDN w:val="0"/>
        <w:adjustRightInd w:val="0"/>
        <w:spacing w:after="0" w:line="288" w:lineRule="auto"/>
        <w:ind w:left="426" w:hanging="357"/>
        <w:jc w:val="both"/>
      </w:pPr>
      <w:r>
        <w:t>i c</w:t>
      </w:r>
      <w:r w:rsidRPr="00144167">
        <w:t>omuni hanno quindi incaricato l’Autorità di selezionare, mediante gara ad evidenza pubblica, un soggetto munito dei requisiti di indipendenza e professionalità richiesti da detta norma;</w:t>
      </w:r>
    </w:p>
    <w:p w:rsidR="00927569" w:rsidRPr="00144167" w:rsidRDefault="00927569" w:rsidP="00AA3EFE">
      <w:pPr>
        <w:pStyle w:val="ListParagraph"/>
        <w:numPr>
          <w:ilvl w:val="0"/>
          <w:numId w:val="11"/>
        </w:numPr>
        <w:autoSpaceDE w:val="0"/>
        <w:autoSpaceDN w:val="0"/>
        <w:adjustRightInd w:val="0"/>
        <w:spacing w:after="0" w:line="288" w:lineRule="auto"/>
        <w:ind w:left="426" w:hanging="357"/>
        <w:jc w:val="both"/>
      </w:pPr>
      <w:r w:rsidRPr="00144167">
        <w:t xml:space="preserve">a seguito della gara </w:t>
      </w:r>
      <w:r>
        <w:t xml:space="preserve">sopra indicata, </w:t>
      </w:r>
      <w:r w:rsidRPr="00144167">
        <w:t>è risultata aggiudicataria la Mazars S.p.A., individuata quindi come esperto indipendente incaricato di effettuale le valutazioni d</w:t>
      </w:r>
      <w:r>
        <w:t>i stima dei beni che i singoli c</w:t>
      </w:r>
      <w:r w:rsidRPr="00144167">
        <w:t xml:space="preserve">omuni </w:t>
      </w:r>
      <w:r>
        <w:t xml:space="preserve">intendono </w:t>
      </w:r>
      <w:r w:rsidRPr="00144167">
        <w:t>voler conferire in RetiAmbiente S.p.A.;</w:t>
      </w:r>
    </w:p>
    <w:p w:rsidR="00927569" w:rsidRPr="00D30A91" w:rsidRDefault="00927569" w:rsidP="00AA3EFE">
      <w:pPr>
        <w:autoSpaceDE w:val="0"/>
        <w:autoSpaceDN w:val="0"/>
        <w:adjustRightInd w:val="0"/>
        <w:spacing w:after="0" w:line="288" w:lineRule="auto"/>
        <w:jc w:val="both"/>
        <w:rPr>
          <w:color w:val="FF0000"/>
        </w:rPr>
      </w:pPr>
    </w:p>
    <w:p w:rsidR="00927569" w:rsidRPr="00AA6858" w:rsidRDefault="00927569" w:rsidP="00AA3EFE">
      <w:pPr>
        <w:autoSpaceDE w:val="0"/>
        <w:autoSpaceDN w:val="0"/>
        <w:adjustRightInd w:val="0"/>
        <w:spacing w:after="0" w:line="288" w:lineRule="auto"/>
        <w:jc w:val="both"/>
      </w:pPr>
      <w:r w:rsidRPr="00D30A91">
        <w:rPr>
          <w:b/>
        </w:rPr>
        <w:t xml:space="preserve">CONSIDERATO </w:t>
      </w:r>
      <w:r w:rsidRPr="00AA6858">
        <w:t>che</w:t>
      </w:r>
      <w:r>
        <w:t>:</w:t>
      </w:r>
    </w:p>
    <w:p w:rsidR="00927569" w:rsidRPr="00D30A91" w:rsidRDefault="00927569" w:rsidP="00AA3EFE">
      <w:pPr>
        <w:pStyle w:val="ListParagraph"/>
        <w:numPr>
          <w:ilvl w:val="0"/>
          <w:numId w:val="14"/>
        </w:numPr>
        <w:spacing w:after="0" w:line="288" w:lineRule="auto"/>
        <w:ind w:left="426"/>
        <w:jc w:val="both"/>
      </w:pPr>
      <w:r w:rsidRPr="00D30A91">
        <w:t xml:space="preserve">Geofor S.p.A., avente sede legale in Pontedera, codice fiscale e partita IVA n. 01153330509, è l’attuale gestore del servizio dei rifiuti urbani </w:t>
      </w:r>
      <w:r>
        <w:t xml:space="preserve">nell’area pisana e svolge tale attività in via meramente transitoria </w:t>
      </w:r>
      <w:r w:rsidRPr="00D30A91">
        <w:t xml:space="preserve">nelle more </w:t>
      </w:r>
      <w:r>
        <w:t xml:space="preserve">dell’espletamento della sopra citata gara ad evidenza pubblica da parte dell’Autorità </w:t>
      </w:r>
      <w:r w:rsidRPr="00D30A91">
        <w:t xml:space="preserve">“ATO Toscana Costa”; </w:t>
      </w:r>
    </w:p>
    <w:p w:rsidR="00927569" w:rsidRPr="005548F4" w:rsidRDefault="00927569" w:rsidP="00AA3EFE">
      <w:pPr>
        <w:pStyle w:val="ListParagraph"/>
        <w:numPr>
          <w:ilvl w:val="0"/>
          <w:numId w:val="14"/>
        </w:numPr>
        <w:spacing w:after="0" w:line="288" w:lineRule="auto"/>
        <w:ind w:left="426"/>
        <w:jc w:val="both"/>
      </w:pPr>
      <w:r w:rsidRPr="00D30A91">
        <w:t xml:space="preserve">il Comune di </w:t>
      </w:r>
      <w:r>
        <w:t>Ponsacco</w:t>
      </w:r>
      <w:r w:rsidRPr="00D30A91">
        <w:t xml:space="preserve"> parte</w:t>
      </w:r>
      <w:r>
        <w:t xml:space="preserve">cipa alla società Geofor S.p.A. con </w:t>
      </w:r>
      <w:r w:rsidRPr="00D30A91">
        <w:t xml:space="preserve">n. </w:t>
      </w:r>
      <w:r>
        <w:t xml:space="preserve">2.430 </w:t>
      </w:r>
      <w:r w:rsidRPr="00D30A91">
        <w:t xml:space="preserve">azioni del valore nominale di € 0,52 ciascuna, per un </w:t>
      </w:r>
      <w:r>
        <w:t xml:space="preserve">valore nominale </w:t>
      </w:r>
      <w:r w:rsidRPr="00D30A91">
        <w:t xml:space="preserve">complessivo di € </w:t>
      </w:r>
      <w:r>
        <w:t>1.263,60</w:t>
      </w:r>
      <w:r w:rsidRPr="00D30A91">
        <w:t xml:space="preserve"> corrispondente</w:t>
      </w:r>
      <w:r>
        <w:t xml:space="preserve"> allo 0,047% del capitale sociale</w:t>
      </w:r>
      <w:r w:rsidRPr="00D30A91">
        <w:t>;</w:t>
      </w:r>
    </w:p>
    <w:p w:rsidR="00927569" w:rsidRPr="00714EC8" w:rsidRDefault="00927569" w:rsidP="00714EC8">
      <w:pPr>
        <w:pStyle w:val="ListParagraph"/>
        <w:numPr>
          <w:ilvl w:val="0"/>
          <w:numId w:val="14"/>
        </w:numPr>
        <w:spacing w:after="0" w:line="288" w:lineRule="auto"/>
        <w:ind w:left="426"/>
        <w:jc w:val="both"/>
      </w:pPr>
      <w:r w:rsidRPr="00714EC8">
        <w:t xml:space="preserve">l’attuale capitale sociale di Geofor S.p.A.,secondo i dati del Registro delle Imprese, è composto </w:t>
      </w:r>
      <w:r>
        <w:t>come segue</w:t>
      </w:r>
      <w:r w:rsidRPr="00714EC8">
        <w:t>:</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9"/>
        <w:gridCol w:w="1420"/>
        <w:gridCol w:w="1418"/>
        <w:gridCol w:w="1276"/>
      </w:tblGrid>
      <w:tr w:rsidR="00927569" w:rsidRPr="00494574" w:rsidTr="00494574">
        <w:trPr>
          <w:trHeight w:val="446"/>
          <w:jc w:val="center"/>
        </w:trPr>
        <w:tc>
          <w:tcPr>
            <w:tcW w:w="4499" w:type="dxa"/>
            <w:vAlign w:val="center"/>
          </w:tcPr>
          <w:p w:rsidR="00927569" w:rsidRPr="00494574" w:rsidRDefault="00927569" w:rsidP="00277354">
            <w:pPr>
              <w:pStyle w:val="BodyText"/>
              <w:rPr>
                <w:rFonts w:ascii="Calibri" w:hAnsi="Calibri"/>
                <w:b/>
                <w:color w:val="000000"/>
              </w:rPr>
            </w:pPr>
            <w:r w:rsidRPr="00494574">
              <w:rPr>
                <w:rFonts w:ascii="Calibri" w:hAnsi="Calibri"/>
                <w:b/>
                <w:color w:val="000000"/>
              </w:rPr>
              <w:t>Denominazione</w:t>
            </w:r>
          </w:p>
        </w:tc>
        <w:tc>
          <w:tcPr>
            <w:tcW w:w="1420" w:type="dxa"/>
            <w:vAlign w:val="center"/>
          </w:tcPr>
          <w:p w:rsidR="00927569" w:rsidRPr="00494574" w:rsidRDefault="00927569" w:rsidP="00494574">
            <w:pPr>
              <w:pStyle w:val="BodyText"/>
              <w:jc w:val="center"/>
              <w:rPr>
                <w:rFonts w:ascii="Calibri" w:hAnsi="Calibri"/>
                <w:b/>
                <w:color w:val="000000"/>
              </w:rPr>
            </w:pPr>
            <w:r w:rsidRPr="00494574">
              <w:rPr>
                <w:rFonts w:ascii="Calibri" w:hAnsi="Calibri"/>
                <w:b/>
                <w:color w:val="000000"/>
              </w:rPr>
              <w:t>Numero Azioni</w:t>
            </w:r>
          </w:p>
        </w:tc>
        <w:tc>
          <w:tcPr>
            <w:tcW w:w="1418" w:type="dxa"/>
            <w:vAlign w:val="center"/>
          </w:tcPr>
          <w:p w:rsidR="00927569" w:rsidRPr="00494574" w:rsidRDefault="00927569" w:rsidP="00494574">
            <w:pPr>
              <w:pStyle w:val="BodyText"/>
              <w:jc w:val="center"/>
              <w:rPr>
                <w:rFonts w:ascii="Calibri" w:hAnsi="Calibri"/>
                <w:b/>
                <w:color w:val="000000"/>
              </w:rPr>
            </w:pPr>
            <w:r w:rsidRPr="00494574">
              <w:rPr>
                <w:rFonts w:ascii="Calibri" w:hAnsi="Calibri"/>
                <w:b/>
                <w:color w:val="000000"/>
              </w:rPr>
              <w:t>Valore Nominale</w:t>
            </w:r>
          </w:p>
        </w:tc>
        <w:tc>
          <w:tcPr>
            <w:tcW w:w="1276" w:type="dxa"/>
            <w:vAlign w:val="center"/>
          </w:tcPr>
          <w:p w:rsidR="00927569" w:rsidRPr="00494574" w:rsidRDefault="00927569" w:rsidP="00494574">
            <w:pPr>
              <w:pStyle w:val="BodyText"/>
              <w:jc w:val="center"/>
              <w:rPr>
                <w:rFonts w:ascii="Calibri" w:hAnsi="Calibri"/>
                <w:b/>
                <w:color w:val="000000"/>
              </w:rPr>
            </w:pPr>
            <w:r w:rsidRPr="00494574">
              <w:rPr>
                <w:rFonts w:ascii="Calibri" w:hAnsi="Calibri"/>
                <w:b/>
                <w:color w:val="000000"/>
              </w:rPr>
              <w:t>Percentuale</w:t>
            </w:r>
          </w:p>
        </w:tc>
      </w:tr>
      <w:tr w:rsidR="00927569" w:rsidRPr="00494574" w:rsidTr="00494574">
        <w:trPr>
          <w:jc w:val="center"/>
        </w:trPr>
        <w:tc>
          <w:tcPr>
            <w:tcW w:w="4499" w:type="dxa"/>
            <w:vAlign w:val="center"/>
          </w:tcPr>
          <w:p w:rsidR="00927569" w:rsidRPr="00494574" w:rsidRDefault="00927569" w:rsidP="00494574">
            <w:pPr>
              <w:spacing w:after="0" w:line="240" w:lineRule="auto"/>
              <w:rPr>
                <w:sz w:val="20"/>
                <w:szCs w:val="20"/>
              </w:rPr>
            </w:pPr>
            <w:r w:rsidRPr="00494574">
              <w:rPr>
                <w:sz w:val="20"/>
                <w:szCs w:val="20"/>
              </w:rPr>
              <w:t>Comune di Pisa</w:t>
            </w:r>
          </w:p>
        </w:tc>
        <w:tc>
          <w:tcPr>
            <w:tcW w:w="1420" w:type="dxa"/>
            <w:vAlign w:val="center"/>
          </w:tcPr>
          <w:p w:rsidR="00927569" w:rsidRPr="00494574" w:rsidRDefault="00927569" w:rsidP="00494574">
            <w:pPr>
              <w:spacing w:after="0" w:line="240" w:lineRule="auto"/>
              <w:jc w:val="right"/>
              <w:rPr>
                <w:sz w:val="20"/>
                <w:szCs w:val="20"/>
              </w:rPr>
            </w:pPr>
            <w:r w:rsidRPr="00494574">
              <w:rPr>
                <w:sz w:val="20"/>
                <w:szCs w:val="20"/>
              </w:rPr>
              <w:t>1.613.107</w:t>
            </w:r>
          </w:p>
        </w:tc>
        <w:tc>
          <w:tcPr>
            <w:tcW w:w="1418" w:type="dxa"/>
            <w:vAlign w:val="center"/>
          </w:tcPr>
          <w:p w:rsidR="00927569" w:rsidRPr="00494574" w:rsidRDefault="00927569" w:rsidP="00494574">
            <w:pPr>
              <w:spacing w:after="0" w:line="240" w:lineRule="auto"/>
              <w:jc w:val="right"/>
              <w:rPr>
                <w:sz w:val="20"/>
                <w:szCs w:val="20"/>
              </w:rPr>
            </w:pPr>
            <w:r w:rsidRPr="00494574">
              <w:rPr>
                <w:sz w:val="20"/>
                <w:szCs w:val="20"/>
              </w:rPr>
              <w:t>838.815,64</w:t>
            </w:r>
          </w:p>
        </w:tc>
        <w:tc>
          <w:tcPr>
            <w:tcW w:w="1276" w:type="dxa"/>
            <w:vAlign w:val="center"/>
          </w:tcPr>
          <w:p w:rsidR="00927569" w:rsidRPr="00494574" w:rsidRDefault="00927569" w:rsidP="00494574">
            <w:pPr>
              <w:spacing w:after="0" w:line="240" w:lineRule="auto"/>
              <w:jc w:val="right"/>
              <w:rPr>
                <w:sz w:val="20"/>
                <w:szCs w:val="20"/>
              </w:rPr>
            </w:pPr>
            <w:r w:rsidRPr="00494574">
              <w:rPr>
                <w:sz w:val="20"/>
                <w:szCs w:val="20"/>
              </w:rPr>
              <w:t>31,021%</w:t>
            </w:r>
          </w:p>
        </w:tc>
      </w:tr>
      <w:tr w:rsidR="00927569" w:rsidRPr="00494574" w:rsidTr="00494574">
        <w:trPr>
          <w:jc w:val="center"/>
        </w:trPr>
        <w:tc>
          <w:tcPr>
            <w:tcW w:w="4499" w:type="dxa"/>
            <w:vAlign w:val="center"/>
          </w:tcPr>
          <w:p w:rsidR="00927569" w:rsidRPr="00494574" w:rsidRDefault="00927569" w:rsidP="00494574">
            <w:pPr>
              <w:spacing w:after="0" w:line="240" w:lineRule="auto"/>
              <w:rPr>
                <w:sz w:val="20"/>
                <w:szCs w:val="20"/>
              </w:rPr>
            </w:pPr>
            <w:r w:rsidRPr="00494574">
              <w:rPr>
                <w:sz w:val="20"/>
                <w:szCs w:val="20"/>
              </w:rPr>
              <w:t>Comune di Pontedera</w:t>
            </w:r>
          </w:p>
        </w:tc>
        <w:tc>
          <w:tcPr>
            <w:tcW w:w="1420" w:type="dxa"/>
            <w:vAlign w:val="center"/>
          </w:tcPr>
          <w:p w:rsidR="00927569" w:rsidRPr="00494574" w:rsidRDefault="00927569" w:rsidP="00494574">
            <w:pPr>
              <w:spacing w:after="0" w:line="240" w:lineRule="auto"/>
              <w:jc w:val="right"/>
              <w:rPr>
                <w:sz w:val="20"/>
                <w:szCs w:val="20"/>
              </w:rPr>
            </w:pPr>
            <w:r w:rsidRPr="00494574">
              <w:rPr>
                <w:sz w:val="20"/>
                <w:szCs w:val="20"/>
              </w:rPr>
              <w:t>1.005.000</w:t>
            </w:r>
          </w:p>
        </w:tc>
        <w:tc>
          <w:tcPr>
            <w:tcW w:w="1418" w:type="dxa"/>
            <w:vAlign w:val="center"/>
          </w:tcPr>
          <w:p w:rsidR="00927569" w:rsidRPr="00494574" w:rsidRDefault="00927569" w:rsidP="00494574">
            <w:pPr>
              <w:spacing w:after="0" w:line="240" w:lineRule="auto"/>
              <w:jc w:val="right"/>
              <w:rPr>
                <w:sz w:val="20"/>
                <w:szCs w:val="20"/>
              </w:rPr>
            </w:pPr>
            <w:r w:rsidRPr="00494574">
              <w:rPr>
                <w:sz w:val="20"/>
                <w:szCs w:val="20"/>
              </w:rPr>
              <w:t>522.600,00</w:t>
            </w:r>
          </w:p>
        </w:tc>
        <w:tc>
          <w:tcPr>
            <w:tcW w:w="1276" w:type="dxa"/>
            <w:vAlign w:val="center"/>
          </w:tcPr>
          <w:p w:rsidR="00927569" w:rsidRPr="00494574" w:rsidRDefault="00927569" w:rsidP="00494574">
            <w:pPr>
              <w:spacing w:after="0" w:line="240" w:lineRule="auto"/>
              <w:jc w:val="right"/>
              <w:rPr>
                <w:sz w:val="20"/>
                <w:szCs w:val="20"/>
              </w:rPr>
            </w:pPr>
            <w:r w:rsidRPr="00494574">
              <w:rPr>
                <w:sz w:val="20"/>
                <w:szCs w:val="20"/>
              </w:rPr>
              <w:t>19,327%</w:t>
            </w:r>
          </w:p>
        </w:tc>
      </w:tr>
      <w:tr w:rsidR="00927569" w:rsidRPr="00494574" w:rsidTr="00494574">
        <w:trPr>
          <w:jc w:val="center"/>
        </w:trPr>
        <w:tc>
          <w:tcPr>
            <w:tcW w:w="4499" w:type="dxa"/>
            <w:vAlign w:val="center"/>
          </w:tcPr>
          <w:p w:rsidR="00927569" w:rsidRPr="00494574" w:rsidRDefault="00927569" w:rsidP="00494574">
            <w:pPr>
              <w:spacing w:after="0" w:line="240" w:lineRule="auto"/>
              <w:rPr>
                <w:sz w:val="20"/>
                <w:szCs w:val="20"/>
              </w:rPr>
            </w:pPr>
            <w:r w:rsidRPr="00494574">
              <w:rPr>
                <w:sz w:val="20"/>
                <w:szCs w:val="20"/>
              </w:rPr>
              <w:t>Comune di Cascina</w:t>
            </w:r>
          </w:p>
        </w:tc>
        <w:tc>
          <w:tcPr>
            <w:tcW w:w="1420" w:type="dxa"/>
            <w:vAlign w:val="center"/>
          </w:tcPr>
          <w:p w:rsidR="00927569" w:rsidRPr="00494574" w:rsidRDefault="00927569" w:rsidP="00494574">
            <w:pPr>
              <w:spacing w:after="0" w:line="240" w:lineRule="auto"/>
              <w:jc w:val="right"/>
              <w:rPr>
                <w:sz w:val="20"/>
                <w:szCs w:val="20"/>
              </w:rPr>
            </w:pPr>
            <w:r w:rsidRPr="00494574">
              <w:rPr>
                <w:sz w:val="20"/>
                <w:szCs w:val="20"/>
              </w:rPr>
              <w:t>140.923</w:t>
            </w:r>
          </w:p>
        </w:tc>
        <w:tc>
          <w:tcPr>
            <w:tcW w:w="1418" w:type="dxa"/>
            <w:vAlign w:val="center"/>
          </w:tcPr>
          <w:p w:rsidR="00927569" w:rsidRPr="00494574" w:rsidRDefault="00927569" w:rsidP="00494574">
            <w:pPr>
              <w:spacing w:after="0" w:line="240" w:lineRule="auto"/>
              <w:jc w:val="right"/>
              <w:rPr>
                <w:sz w:val="20"/>
                <w:szCs w:val="20"/>
              </w:rPr>
            </w:pPr>
            <w:r w:rsidRPr="00494574">
              <w:rPr>
                <w:sz w:val="20"/>
                <w:szCs w:val="20"/>
              </w:rPr>
              <w:t>73.279,96</w:t>
            </w:r>
          </w:p>
        </w:tc>
        <w:tc>
          <w:tcPr>
            <w:tcW w:w="1276" w:type="dxa"/>
            <w:vAlign w:val="center"/>
          </w:tcPr>
          <w:p w:rsidR="00927569" w:rsidRPr="00494574" w:rsidRDefault="00927569" w:rsidP="00494574">
            <w:pPr>
              <w:spacing w:after="0" w:line="240" w:lineRule="auto"/>
              <w:jc w:val="right"/>
              <w:rPr>
                <w:sz w:val="20"/>
                <w:szCs w:val="20"/>
              </w:rPr>
            </w:pPr>
            <w:r w:rsidRPr="00494574">
              <w:rPr>
                <w:sz w:val="20"/>
                <w:szCs w:val="20"/>
              </w:rPr>
              <w:t>2,710%</w:t>
            </w:r>
          </w:p>
        </w:tc>
      </w:tr>
      <w:tr w:rsidR="00927569" w:rsidRPr="00494574" w:rsidTr="00494574">
        <w:trPr>
          <w:jc w:val="center"/>
        </w:trPr>
        <w:tc>
          <w:tcPr>
            <w:tcW w:w="4499" w:type="dxa"/>
            <w:vAlign w:val="center"/>
          </w:tcPr>
          <w:p w:rsidR="00927569" w:rsidRPr="00494574" w:rsidRDefault="00927569" w:rsidP="00494574">
            <w:pPr>
              <w:spacing w:after="0" w:line="240" w:lineRule="auto"/>
              <w:rPr>
                <w:sz w:val="20"/>
                <w:szCs w:val="20"/>
              </w:rPr>
            </w:pPr>
            <w:r w:rsidRPr="00494574">
              <w:rPr>
                <w:sz w:val="20"/>
                <w:szCs w:val="20"/>
              </w:rPr>
              <w:t>Comune di San Giuliano Terme</w:t>
            </w:r>
          </w:p>
        </w:tc>
        <w:tc>
          <w:tcPr>
            <w:tcW w:w="1420" w:type="dxa"/>
            <w:vAlign w:val="center"/>
          </w:tcPr>
          <w:p w:rsidR="00927569" w:rsidRPr="00494574" w:rsidRDefault="00927569" w:rsidP="00494574">
            <w:pPr>
              <w:spacing w:after="0" w:line="240" w:lineRule="auto"/>
              <w:jc w:val="right"/>
              <w:rPr>
                <w:sz w:val="20"/>
                <w:szCs w:val="20"/>
              </w:rPr>
            </w:pPr>
            <w:r w:rsidRPr="00494574">
              <w:rPr>
                <w:sz w:val="20"/>
                <w:szCs w:val="20"/>
              </w:rPr>
              <w:t>137.687</w:t>
            </w:r>
          </w:p>
        </w:tc>
        <w:tc>
          <w:tcPr>
            <w:tcW w:w="1418" w:type="dxa"/>
            <w:vAlign w:val="center"/>
          </w:tcPr>
          <w:p w:rsidR="00927569" w:rsidRPr="00494574" w:rsidRDefault="00927569" w:rsidP="00494574">
            <w:pPr>
              <w:spacing w:after="0" w:line="240" w:lineRule="auto"/>
              <w:jc w:val="right"/>
              <w:rPr>
                <w:sz w:val="20"/>
                <w:szCs w:val="20"/>
              </w:rPr>
            </w:pPr>
            <w:r w:rsidRPr="00494574">
              <w:rPr>
                <w:sz w:val="20"/>
                <w:szCs w:val="20"/>
              </w:rPr>
              <w:t>71.597,24</w:t>
            </w:r>
          </w:p>
        </w:tc>
        <w:tc>
          <w:tcPr>
            <w:tcW w:w="1276" w:type="dxa"/>
            <w:vAlign w:val="center"/>
          </w:tcPr>
          <w:p w:rsidR="00927569" w:rsidRPr="00494574" w:rsidRDefault="00927569" w:rsidP="00494574">
            <w:pPr>
              <w:spacing w:after="0" w:line="240" w:lineRule="auto"/>
              <w:jc w:val="right"/>
              <w:rPr>
                <w:sz w:val="20"/>
                <w:szCs w:val="20"/>
              </w:rPr>
            </w:pPr>
            <w:r w:rsidRPr="00494574">
              <w:rPr>
                <w:sz w:val="20"/>
                <w:szCs w:val="20"/>
              </w:rPr>
              <w:t>2,648%</w:t>
            </w:r>
          </w:p>
        </w:tc>
      </w:tr>
      <w:tr w:rsidR="00927569" w:rsidRPr="00494574" w:rsidTr="00494574">
        <w:trPr>
          <w:jc w:val="center"/>
        </w:trPr>
        <w:tc>
          <w:tcPr>
            <w:tcW w:w="4499" w:type="dxa"/>
            <w:vAlign w:val="center"/>
          </w:tcPr>
          <w:p w:rsidR="00927569" w:rsidRPr="00494574" w:rsidRDefault="00927569" w:rsidP="00494574">
            <w:pPr>
              <w:spacing w:after="0" w:line="240" w:lineRule="auto"/>
              <w:rPr>
                <w:sz w:val="20"/>
                <w:szCs w:val="20"/>
              </w:rPr>
            </w:pPr>
            <w:r w:rsidRPr="00494574">
              <w:rPr>
                <w:sz w:val="20"/>
                <w:szCs w:val="20"/>
              </w:rPr>
              <w:t>Comune di San Miniato</w:t>
            </w:r>
          </w:p>
        </w:tc>
        <w:tc>
          <w:tcPr>
            <w:tcW w:w="1420" w:type="dxa"/>
            <w:vAlign w:val="center"/>
          </w:tcPr>
          <w:p w:rsidR="00927569" w:rsidRPr="00494574" w:rsidRDefault="00927569" w:rsidP="00494574">
            <w:pPr>
              <w:spacing w:after="0" w:line="240" w:lineRule="auto"/>
              <w:jc w:val="right"/>
              <w:rPr>
                <w:sz w:val="20"/>
                <w:szCs w:val="20"/>
              </w:rPr>
            </w:pPr>
            <w:r w:rsidRPr="00494574">
              <w:rPr>
                <w:sz w:val="20"/>
                <w:szCs w:val="20"/>
              </w:rPr>
              <w:t>80.000</w:t>
            </w:r>
          </w:p>
        </w:tc>
        <w:tc>
          <w:tcPr>
            <w:tcW w:w="1418" w:type="dxa"/>
            <w:vAlign w:val="center"/>
          </w:tcPr>
          <w:p w:rsidR="00927569" w:rsidRPr="00494574" w:rsidRDefault="00927569" w:rsidP="00494574">
            <w:pPr>
              <w:spacing w:after="0" w:line="240" w:lineRule="auto"/>
              <w:jc w:val="right"/>
              <w:rPr>
                <w:sz w:val="20"/>
                <w:szCs w:val="20"/>
              </w:rPr>
            </w:pPr>
            <w:r w:rsidRPr="00494574">
              <w:rPr>
                <w:sz w:val="20"/>
                <w:szCs w:val="20"/>
              </w:rPr>
              <w:t>41.600,00</w:t>
            </w:r>
          </w:p>
        </w:tc>
        <w:tc>
          <w:tcPr>
            <w:tcW w:w="1276" w:type="dxa"/>
            <w:vAlign w:val="center"/>
          </w:tcPr>
          <w:p w:rsidR="00927569" w:rsidRPr="00494574" w:rsidRDefault="00927569" w:rsidP="00494574">
            <w:pPr>
              <w:spacing w:after="0" w:line="240" w:lineRule="auto"/>
              <w:jc w:val="right"/>
              <w:rPr>
                <w:sz w:val="20"/>
                <w:szCs w:val="20"/>
              </w:rPr>
            </w:pPr>
            <w:r w:rsidRPr="00494574">
              <w:rPr>
                <w:sz w:val="20"/>
                <w:szCs w:val="20"/>
              </w:rPr>
              <w:t>1,538%</w:t>
            </w:r>
          </w:p>
        </w:tc>
      </w:tr>
      <w:tr w:rsidR="00927569" w:rsidRPr="00494574" w:rsidTr="00494574">
        <w:trPr>
          <w:jc w:val="center"/>
        </w:trPr>
        <w:tc>
          <w:tcPr>
            <w:tcW w:w="4499" w:type="dxa"/>
            <w:vAlign w:val="center"/>
          </w:tcPr>
          <w:p w:rsidR="00927569" w:rsidRPr="00494574" w:rsidRDefault="00927569" w:rsidP="00494574">
            <w:pPr>
              <w:spacing w:after="0" w:line="240" w:lineRule="auto"/>
              <w:rPr>
                <w:sz w:val="20"/>
                <w:szCs w:val="20"/>
              </w:rPr>
            </w:pPr>
            <w:r w:rsidRPr="00494574">
              <w:rPr>
                <w:sz w:val="20"/>
                <w:szCs w:val="20"/>
              </w:rPr>
              <w:t>Comune di Vecchiano</w:t>
            </w:r>
          </w:p>
        </w:tc>
        <w:tc>
          <w:tcPr>
            <w:tcW w:w="1420" w:type="dxa"/>
            <w:vAlign w:val="center"/>
          </w:tcPr>
          <w:p w:rsidR="00927569" w:rsidRPr="00494574" w:rsidRDefault="00927569" w:rsidP="00494574">
            <w:pPr>
              <w:spacing w:after="0" w:line="240" w:lineRule="auto"/>
              <w:jc w:val="right"/>
              <w:rPr>
                <w:sz w:val="20"/>
                <w:szCs w:val="20"/>
              </w:rPr>
            </w:pPr>
            <w:r w:rsidRPr="00494574">
              <w:rPr>
                <w:sz w:val="20"/>
                <w:szCs w:val="20"/>
              </w:rPr>
              <w:t>50.888</w:t>
            </w:r>
          </w:p>
        </w:tc>
        <w:tc>
          <w:tcPr>
            <w:tcW w:w="1418" w:type="dxa"/>
            <w:vAlign w:val="center"/>
          </w:tcPr>
          <w:p w:rsidR="00927569" w:rsidRPr="00494574" w:rsidRDefault="00927569" w:rsidP="00494574">
            <w:pPr>
              <w:spacing w:after="0" w:line="240" w:lineRule="auto"/>
              <w:jc w:val="right"/>
              <w:rPr>
                <w:sz w:val="20"/>
                <w:szCs w:val="20"/>
              </w:rPr>
            </w:pPr>
            <w:r w:rsidRPr="00494574">
              <w:rPr>
                <w:sz w:val="20"/>
                <w:szCs w:val="20"/>
              </w:rPr>
              <w:t>26.461,76</w:t>
            </w:r>
          </w:p>
        </w:tc>
        <w:tc>
          <w:tcPr>
            <w:tcW w:w="1276" w:type="dxa"/>
            <w:vAlign w:val="center"/>
          </w:tcPr>
          <w:p w:rsidR="00927569" w:rsidRPr="00494574" w:rsidRDefault="00927569" w:rsidP="00494574">
            <w:pPr>
              <w:spacing w:after="0" w:line="240" w:lineRule="auto"/>
              <w:jc w:val="right"/>
              <w:rPr>
                <w:sz w:val="20"/>
                <w:szCs w:val="20"/>
              </w:rPr>
            </w:pPr>
            <w:r w:rsidRPr="00494574">
              <w:rPr>
                <w:sz w:val="20"/>
                <w:szCs w:val="20"/>
              </w:rPr>
              <w:t>0,979%</w:t>
            </w:r>
          </w:p>
        </w:tc>
      </w:tr>
      <w:tr w:rsidR="00927569" w:rsidRPr="00494574" w:rsidTr="00494574">
        <w:trPr>
          <w:jc w:val="center"/>
        </w:trPr>
        <w:tc>
          <w:tcPr>
            <w:tcW w:w="4499" w:type="dxa"/>
            <w:vAlign w:val="center"/>
          </w:tcPr>
          <w:p w:rsidR="00927569" w:rsidRPr="00494574" w:rsidRDefault="00927569" w:rsidP="00494574">
            <w:pPr>
              <w:spacing w:after="0" w:line="240" w:lineRule="auto"/>
              <w:rPr>
                <w:sz w:val="20"/>
                <w:szCs w:val="20"/>
              </w:rPr>
            </w:pPr>
            <w:r w:rsidRPr="00494574">
              <w:rPr>
                <w:sz w:val="20"/>
                <w:szCs w:val="20"/>
              </w:rPr>
              <w:t>Comune di Vicopisano</w:t>
            </w:r>
          </w:p>
        </w:tc>
        <w:tc>
          <w:tcPr>
            <w:tcW w:w="1420" w:type="dxa"/>
            <w:vAlign w:val="center"/>
          </w:tcPr>
          <w:p w:rsidR="00927569" w:rsidRPr="00494574" w:rsidRDefault="00927569" w:rsidP="00494574">
            <w:pPr>
              <w:spacing w:after="0" w:line="240" w:lineRule="auto"/>
              <w:jc w:val="right"/>
              <w:rPr>
                <w:sz w:val="20"/>
                <w:szCs w:val="20"/>
              </w:rPr>
            </w:pPr>
            <w:r w:rsidRPr="00494574">
              <w:rPr>
                <w:sz w:val="20"/>
                <w:szCs w:val="20"/>
              </w:rPr>
              <w:t>37.730</w:t>
            </w:r>
          </w:p>
        </w:tc>
        <w:tc>
          <w:tcPr>
            <w:tcW w:w="1418" w:type="dxa"/>
            <w:vAlign w:val="center"/>
          </w:tcPr>
          <w:p w:rsidR="00927569" w:rsidRPr="00494574" w:rsidRDefault="00927569" w:rsidP="00494574">
            <w:pPr>
              <w:spacing w:after="0" w:line="240" w:lineRule="auto"/>
              <w:jc w:val="right"/>
              <w:rPr>
                <w:sz w:val="20"/>
                <w:szCs w:val="20"/>
              </w:rPr>
            </w:pPr>
            <w:r w:rsidRPr="00494574">
              <w:rPr>
                <w:sz w:val="20"/>
                <w:szCs w:val="20"/>
              </w:rPr>
              <w:t>19.619,60</w:t>
            </w:r>
          </w:p>
        </w:tc>
        <w:tc>
          <w:tcPr>
            <w:tcW w:w="1276" w:type="dxa"/>
            <w:vAlign w:val="center"/>
          </w:tcPr>
          <w:p w:rsidR="00927569" w:rsidRPr="00494574" w:rsidRDefault="00927569" w:rsidP="00494574">
            <w:pPr>
              <w:spacing w:after="0" w:line="240" w:lineRule="auto"/>
              <w:jc w:val="right"/>
              <w:rPr>
                <w:sz w:val="20"/>
                <w:szCs w:val="20"/>
              </w:rPr>
            </w:pPr>
            <w:r w:rsidRPr="00494574">
              <w:rPr>
                <w:sz w:val="20"/>
                <w:szCs w:val="20"/>
              </w:rPr>
              <w:t>0,726%</w:t>
            </w:r>
          </w:p>
        </w:tc>
      </w:tr>
      <w:tr w:rsidR="00927569" w:rsidRPr="00494574" w:rsidTr="00494574">
        <w:trPr>
          <w:jc w:val="center"/>
        </w:trPr>
        <w:tc>
          <w:tcPr>
            <w:tcW w:w="4499" w:type="dxa"/>
            <w:vAlign w:val="center"/>
          </w:tcPr>
          <w:p w:rsidR="00927569" w:rsidRPr="00494574" w:rsidRDefault="00927569" w:rsidP="00494574">
            <w:pPr>
              <w:spacing w:after="0" w:line="240" w:lineRule="auto"/>
              <w:rPr>
                <w:sz w:val="20"/>
                <w:szCs w:val="20"/>
              </w:rPr>
            </w:pPr>
            <w:r w:rsidRPr="00494574">
              <w:rPr>
                <w:sz w:val="20"/>
                <w:szCs w:val="20"/>
              </w:rPr>
              <w:t>Comune di Calci</w:t>
            </w:r>
          </w:p>
        </w:tc>
        <w:tc>
          <w:tcPr>
            <w:tcW w:w="1420" w:type="dxa"/>
            <w:vAlign w:val="center"/>
          </w:tcPr>
          <w:p w:rsidR="00927569" w:rsidRPr="00494574" w:rsidRDefault="00927569" w:rsidP="00494574">
            <w:pPr>
              <w:spacing w:after="0" w:line="240" w:lineRule="auto"/>
              <w:jc w:val="right"/>
              <w:rPr>
                <w:sz w:val="20"/>
                <w:szCs w:val="20"/>
              </w:rPr>
            </w:pPr>
            <w:r w:rsidRPr="00494574">
              <w:rPr>
                <w:sz w:val="20"/>
                <w:szCs w:val="20"/>
              </w:rPr>
              <w:t>26.697</w:t>
            </w:r>
          </w:p>
        </w:tc>
        <w:tc>
          <w:tcPr>
            <w:tcW w:w="1418" w:type="dxa"/>
            <w:vAlign w:val="center"/>
          </w:tcPr>
          <w:p w:rsidR="00927569" w:rsidRPr="00494574" w:rsidRDefault="00927569" w:rsidP="00494574">
            <w:pPr>
              <w:spacing w:after="0" w:line="240" w:lineRule="auto"/>
              <w:jc w:val="right"/>
              <w:rPr>
                <w:sz w:val="20"/>
                <w:szCs w:val="20"/>
              </w:rPr>
            </w:pPr>
            <w:r w:rsidRPr="00494574">
              <w:rPr>
                <w:sz w:val="20"/>
                <w:szCs w:val="20"/>
              </w:rPr>
              <w:t>13.882,44</w:t>
            </w:r>
          </w:p>
        </w:tc>
        <w:tc>
          <w:tcPr>
            <w:tcW w:w="1276" w:type="dxa"/>
            <w:vAlign w:val="center"/>
          </w:tcPr>
          <w:p w:rsidR="00927569" w:rsidRPr="00494574" w:rsidRDefault="00927569" w:rsidP="00494574">
            <w:pPr>
              <w:spacing w:after="0" w:line="240" w:lineRule="auto"/>
              <w:jc w:val="right"/>
              <w:rPr>
                <w:sz w:val="20"/>
                <w:szCs w:val="20"/>
              </w:rPr>
            </w:pPr>
            <w:r w:rsidRPr="00494574">
              <w:rPr>
                <w:sz w:val="20"/>
                <w:szCs w:val="20"/>
              </w:rPr>
              <w:t>0,513%</w:t>
            </w:r>
          </w:p>
        </w:tc>
      </w:tr>
      <w:tr w:rsidR="00927569" w:rsidRPr="00494574" w:rsidTr="00494574">
        <w:trPr>
          <w:jc w:val="center"/>
        </w:trPr>
        <w:tc>
          <w:tcPr>
            <w:tcW w:w="4499" w:type="dxa"/>
            <w:vAlign w:val="center"/>
          </w:tcPr>
          <w:p w:rsidR="00927569" w:rsidRPr="00494574" w:rsidRDefault="00927569" w:rsidP="00494574">
            <w:pPr>
              <w:spacing w:after="0" w:line="240" w:lineRule="auto"/>
              <w:rPr>
                <w:sz w:val="20"/>
                <w:szCs w:val="20"/>
              </w:rPr>
            </w:pPr>
            <w:r w:rsidRPr="00494574">
              <w:rPr>
                <w:sz w:val="20"/>
                <w:szCs w:val="20"/>
              </w:rPr>
              <w:t>Comune di Santa Croce sull’Arno</w:t>
            </w:r>
          </w:p>
        </w:tc>
        <w:tc>
          <w:tcPr>
            <w:tcW w:w="1420" w:type="dxa"/>
            <w:vAlign w:val="center"/>
          </w:tcPr>
          <w:p w:rsidR="00927569" w:rsidRPr="00494574" w:rsidRDefault="00927569" w:rsidP="00494574">
            <w:pPr>
              <w:spacing w:after="0" w:line="240" w:lineRule="auto"/>
              <w:jc w:val="right"/>
              <w:rPr>
                <w:sz w:val="20"/>
                <w:szCs w:val="20"/>
              </w:rPr>
            </w:pPr>
            <w:r w:rsidRPr="00494574">
              <w:rPr>
                <w:sz w:val="20"/>
                <w:szCs w:val="20"/>
              </w:rPr>
              <w:t>6.630</w:t>
            </w:r>
          </w:p>
        </w:tc>
        <w:tc>
          <w:tcPr>
            <w:tcW w:w="1418" w:type="dxa"/>
            <w:vAlign w:val="center"/>
          </w:tcPr>
          <w:p w:rsidR="00927569" w:rsidRPr="00494574" w:rsidRDefault="00927569" w:rsidP="00494574">
            <w:pPr>
              <w:spacing w:after="0" w:line="240" w:lineRule="auto"/>
              <w:jc w:val="right"/>
              <w:rPr>
                <w:sz w:val="20"/>
                <w:szCs w:val="20"/>
              </w:rPr>
            </w:pPr>
            <w:r w:rsidRPr="00494574">
              <w:rPr>
                <w:sz w:val="20"/>
                <w:szCs w:val="20"/>
              </w:rPr>
              <w:t>3.447,60</w:t>
            </w:r>
          </w:p>
        </w:tc>
        <w:tc>
          <w:tcPr>
            <w:tcW w:w="1276" w:type="dxa"/>
            <w:vAlign w:val="center"/>
          </w:tcPr>
          <w:p w:rsidR="00927569" w:rsidRPr="00494574" w:rsidRDefault="00927569" w:rsidP="00494574">
            <w:pPr>
              <w:spacing w:after="0" w:line="240" w:lineRule="auto"/>
              <w:jc w:val="right"/>
              <w:rPr>
                <w:sz w:val="20"/>
                <w:szCs w:val="20"/>
              </w:rPr>
            </w:pPr>
            <w:r w:rsidRPr="00494574">
              <w:rPr>
                <w:sz w:val="20"/>
                <w:szCs w:val="20"/>
              </w:rPr>
              <w:t>0,128%</w:t>
            </w:r>
          </w:p>
        </w:tc>
      </w:tr>
      <w:tr w:rsidR="00927569" w:rsidRPr="00494574" w:rsidTr="00494574">
        <w:trPr>
          <w:jc w:val="center"/>
        </w:trPr>
        <w:tc>
          <w:tcPr>
            <w:tcW w:w="4499" w:type="dxa"/>
            <w:vAlign w:val="center"/>
          </w:tcPr>
          <w:p w:rsidR="00927569" w:rsidRPr="00494574" w:rsidRDefault="00927569" w:rsidP="00494574">
            <w:pPr>
              <w:spacing w:after="0" w:line="240" w:lineRule="auto"/>
              <w:rPr>
                <w:sz w:val="20"/>
                <w:szCs w:val="20"/>
              </w:rPr>
            </w:pPr>
            <w:r w:rsidRPr="00494574">
              <w:rPr>
                <w:sz w:val="20"/>
                <w:szCs w:val="20"/>
              </w:rPr>
              <w:t>Comune di Crespina Lorenzana</w:t>
            </w:r>
          </w:p>
        </w:tc>
        <w:tc>
          <w:tcPr>
            <w:tcW w:w="1420" w:type="dxa"/>
            <w:vAlign w:val="center"/>
          </w:tcPr>
          <w:p w:rsidR="00927569" w:rsidRPr="00494574" w:rsidRDefault="00927569" w:rsidP="00494574">
            <w:pPr>
              <w:spacing w:after="0" w:line="240" w:lineRule="auto"/>
              <w:jc w:val="right"/>
              <w:rPr>
                <w:sz w:val="20"/>
                <w:szCs w:val="20"/>
              </w:rPr>
            </w:pPr>
            <w:r w:rsidRPr="00494574">
              <w:rPr>
                <w:sz w:val="20"/>
                <w:szCs w:val="20"/>
              </w:rPr>
              <w:t>6.600</w:t>
            </w:r>
          </w:p>
        </w:tc>
        <w:tc>
          <w:tcPr>
            <w:tcW w:w="1418" w:type="dxa"/>
            <w:vAlign w:val="center"/>
          </w:tcPr>
          <w:p w:rsidR="00927569" w:rsidRPr="00494574" w:rsidRDefault="00927569" w:rsidP="00494574">
            <w:pPr>
              <w:spacing w:after="0" w:line="240" w:lineRule="auto"/>
              <w:jc w:val="right"/>
              <w:rPr>
                <w:sz w:val="20"/>
                <w:szCs w:val="20"/>
              </w:rPr>
            </w:pPr>
            <w:r w:rsidRPr="00494574">
              <w:rPr>
                <w:sz w:val="20"/>
                <w:szCs w:val="20"/>
              </w:rPr>
              <w:t>3.432,00</w:t>
            </w:r>
          </w:p>
        </w:tc>
        <w:tc>
          <w:tcPr>
            <w:tcW w:w="1276" w:type="dxa"/>
            <w:vAlign w:val="center"/>
          </w:tcPr>
          <w:p w:rsidR="00927569" w:rsidRPr="00494574" w:rsidRDefault="00927569" w:rsidP="00494574">
            <w:pPr>
              <w:spacing w:after="0" w:line="240" w:lineRule="auto"/>
              <w:jc w:val="right"/>
              <w:rPr>
                <w:sz w:val="20"/>
                <w:szCs w:val="20"/>
              </w:rPr>
            </w:pPr>
            <w:r w:rsidRPr="00494574">
              <w:rPr>
                <w:sz w:val="20"/>
                <w:szCs w:val="20"/>
              </w:rPr>
              <w:t>0,127%</w:t>
            </w:r>
          </w:p>
        </w:tc>
      </w:tr>
      <w:tr w:rsidR="00927569" w:rsidRPr="00494574" w:rsidTr="00494574">
        <w:trPr>
          <w:jc w:val="center"/>
        </w:trPr>
        <w:tc>
          <w:tcPr>
            <w:tcW w:w="4499" w:type="dxa"/>
            <w:vAlign w:val="center"/>
          </w:tcPr>
          <w:p w:rsidR="00927569" w:rsidRPr="00494574" w:rsidRDefault="00927569" w:rsidP="00494574">
            <w:pPr>
              <w:spacing w:after="0" w:line="240" w:lineRule="auto"/>
              <w:rPr>
                <w:sz w:val="20"/>
                <w:szCs w:val="20"/>
              </w:rPr>
            </w:pPr>
            <w:r w:rsidRPr="00494574">
              <w:rPr>
                <w:sz w:val="20"/>
                <w:szCs w:val="20"/>
              </w:rPr>
              <w:t>Comune di Ponsacco</w:t>
            </w:r>
          </w:p>
        </w:tc>
        <w:tc>
          <w:tcPr>
            <w:tcW w:w="1420" w:type="dxa"/>
            <w:vAlign w:val="center"/>
          </w:tcPr>
          <w:p w:rsidR="00927569" w:rsidRPr="00494574" w:rsidRDefault="00927569" w:rsidP="00494574">
            <w:pPr>
              <w:spacing w:after="0" w:line="240" w:lineRule="auto"/>
              <w:jc w:val="right"/>
              <w:rPr>
                <w:sz w:val="20"/>
                <w:szCs w:val="20"/>
              </w:rPr>
            </w:pPr>
            <w:r w:rsidRPr="00494574">
              <w:rPr>
                <w:sz w:val="20"/>
                <w:szCs w:val="20"/>
              </w:rPr>
              <w:t>2.430</w:t>
            </w:r>
          </w:p>
        </w:tc>
        <w:tc>
          <w:tcPr>
            <w:tcW w:w="1418" w:type="dxa"/>
            <w:vAlign w:val="center"/>
          </w:tcPr>
          <w:p w:rsidR="00927569" w:rsidRPr="00494574" w:rsidRDefault="00927569" w:rsidP="00494574">
            <w:pPr>
              <w:spacing w:after="0" w:line="240" w:lineRule="auto"/>
              <w:jc w:val="right"/>
              <w:rPr>
                <w:sz w:val="20"/>
                <w:szCs w:val="20"/>
              </w:rPr>
            </w:pPr>
            <w:r w:rsidRPr="00494574">
              <w:rPr>
                <w:sz w:val="20"/>
                <w:szCs w:val="20"/>
              </w:rPr>
              <w:t>1.263,60</w:t>
            </w:r>
          </w:p>
        </w:tc>
        <w:tc>
          <w:tcPr>
            <w:tcW w:w="1276" w:type="dxa"/>
            <w:vAlign w:val="center"/>
          </w:tcPr>
          <w:p w:rsidR="00927569" w:rsidRPr="00494574" w:rsidRDefault="00927569" w:rsidP="00494574">
            <w:pPr>
              <w:spacing w:after="0" w:line="240" w:lineRule="auto"/>
              <w:jc w:val="right"/>
              <w:rPr>
                <w:sz w:val="20"/>
                <w:szCs w:val="20"/>
              </w:rPr>
            </w:pPr>
            <w:r w:rsidRPr="00494574">
              <w:rPr>
                <w:sz w:val="20"/>
                <w:szCs w:val="20"/>
              </w:rPr>
              <w:t>0,047%</w:t>
            </w:r>
          </w:p>
        </w:tc>
      </w:tr>
      <w:tr w:rsidR="00927569" w:rsidRPr="00494574" w:rsidTr="00494574">
        <w:trPr>
          <w:jc w:val="center"/>
        </w:trPr>
        <w:tc>
          <w:tcPr>
            <w:tcW w:w="4499" w:type="dxa"/>
            <w:vAlign w:val="center"/>
          </w:tcPr>
          <w:p w:rsidR="00927569" w:rsidRPr="00494574" w:rsidRDefault="00927569" w:rsidP="00494574">
            <w:pPr>
              <w:spacing w:after="0" w:line="240" w:lineRule="auto"/>
              <w:rPr>
                <w:sz w:val="20"/>
                <w:szCs w:val="20"/>
              </w:rPr>
            </w:pPr>
            <w:r w:rsidRPr="00494574">
              <w:rPr>
                <w:sz w:val="20"/>
                <w:szCs w:val="20"/>
              </w:rPr>
              <w:t>Comune di Capannoli</w:t>
            </w:r>
          </w:p>
        </w:tc>
        <w:tc>
          <w:tcPr>
            <w:tcW w:w="1420" w:type="dxa"/>
            <w:vAlign w:val="center"/>
          </w:tcPr>
          <w:p w:rsidR="00927569" w:rsidRPr="00494574" w:rsidRDefault="00927569" w:rsidP="00494574">
            <w:pPr>
              <w:spacing w:after="0" w:line="240" w:lineRule="auto"/>
              <w:jc w:val="right"/>
              <w:rPr>
                <w:sz w:val="20"/>
                <w:szCs w:val="20"/>
              </w:rPr>
            </w:pPr>
            <w:r w:rsidRPr="00494574">
              <w:rPr>
                <w:sz w:val="20"/>
                <w:szCs w:val="20"/>
              </w:rPr>
              <w:t>2.200</w:t>
            </w:r>
          </w:p>
        </w:tc>
        <w:tc>
          <w:tcPr>
            <w:tcW w:w="1418" w:type="dxa"/>
            <w:vAlign w:val="center"/>
          </w:tcPr>
          <w:p w:rsidR="00927569" w:rsidRPr="00494574" w:rsidRDefault="00927569" w:rsidP="00494574">
            <w:pPr>
              <w:spacing w:after="0" w:line="240" w:lineRule="auto"/>
              <w:jc w:val="right"/>
              <w:rPr>
                <w:sz w:val="20"/>
                <w:szCs w:val="20"/>
              </w:rPr>
            </w:pPr>
            <w:r w:rsidRPr="00494574">
              <w:rPr>
                <w:sz w:val="20"/>
                <w:szCs w:val="20"/>
              </w:rPr>
              <w:t>1.144,00</w:t>
            </w:r>
          </w:p>
        </w:tc>
        <w:tc>
          <w:tcPr>
            <w:tcW w:w="1276" w:type="dxa"/>
            <w:vAlign w:val="center"/>
          </w:tcPr>
          <w:p w:rsidR="00927569" w:rsidRPr="00494574" w:rsidRDefault="00927569" w:rsidP="00494574">
            <w:pPr>
              <w:spacing w:after="0" w:line="240" w:lineRule="auto"/>
              <w:jc w:val="right"/>
              <w:rPr>
                <w:sz w:val="20"/>
                <w:szCs w:val="20"/>
              </w:rPr>
            </w:pPr>
            <w:r w:rsidRPr="00494574">
              <w:rPr>
                <w:sz w:val="20"/>
                <w:szCs w:val="20"/>
              </w:rPr>
              <w:t>0,042%</w:t>
            </w:r>
          </w:p>
        </w:tc>
      </w:tr>
      <w:tr w:rsidR="00927569" w:rsidRPr="00494574" w:rsidTr="00494574">
        <w:trPr>
          <w:jc w:val="center"/>
        </w:trPr>
        <w:tc>
          <w:tcPr>
            <w:tcW w:w="4499" w:type="dxa"/>
            <w:vAlign w:val="center"/>
          </w:tcPr>
          <w:p w:rsidR="00927569" w:rsidRPr="00494574" w:rsidRDefault="00927569" w:rsidP="00494574">
            <w:pPr>
              <w:spacing w:after="0" w:line="240" w:lineRule="auto"/>
              <w:rPr>
                <w:sz w:val="20"/>
                <w:szCs w:val="20"/>
              </w:rPr>
            </w:pPr>
            <w:r w:rsidRPr="00494574">
              <w:rPr>
                <w:sz w:val="20"/>
                <w:szCs w:val="20"/>
              </w:rPr>
              <w:t>Comune di Santa Maria a Monte</w:t>
            </w:r>
          </w:p>
        </w:tc>
        <w:tc>
          <w:tcPr>
            <w:tcW w:w="1420" w:type="dxa"/>
            <w:vAlign w:val="center"/>
          </w:tcPr>
          <w:p w:rsidR="00927569" w:rsidRPr="00494574" w:rsidRDefault="00927569" w:rsidP="00494574">
            <w:pPr>
              <w:spacing w:after="0" w:line="240" w:lineRule="auto"/>
              <w:jc w:val="right"/>
              <w:rPr>
                <w:sz w:val="20"/>
                <w:szCs w:val="20"/>
              </w:rPr>
            </w:pPr>
            <w:r w:rsidRPr="00494574">
              <w:rPr>
                <w:sz w:val="20"/>
                <w:szCs w:val="20"/>
              </w:rPr>
              <w:t>2.200</w:t>
            </w:r>
          </w:p>
        </w:tc>
        <w:tc>
          <w:tcPr>
            <w:tcW w:w="1418" w:type="dxa"/>
            <w:vAlign w:val="center"/>
          </w:tcPr>
          <w:p w:rsidR="00927569" w:rsidRPr="00494574" w:rsidRDefault="00927569" w:rsidP="00494574">
            <w:pPr>
              <w:spacing w:after="0" w:line="240" w:lineRule="auto"/>
              <w:jc w:val="right"/>
              <w:rPr>
                <w:sz w:val="20"/>
                <w:szCs w:val="20"/>
              </w:rPr>
            </w:pPr>
            <w:r w:rsidRPr="00494574">
              <w:rPr>
                <w:sz w:val="20"/>
                <w:szCs w:val="20"/>
              </w:rPr>
              <w:t>1.144,00</w:t>
            </w:r>
          </w:p>
        </w:tc>
        <w:tc>
          <w:tcPr>
            <w:tcW w:w="1276" w:type="dxa"/>
            <w:vAlign w:val="center"/>
          </w:tcPr>
          <w:p w:rsidR="00927569" w:rsidRPr="00494574" w:rsidRDefault="00927569" w:rsidP="00494574">
            <w:pPr>
              <w:spacing w:after="0" w:line="240" w:lineRule="auto"/>
              <w:jc w:val="right"/>
              <w:rPr>
                <w:sz w:val="20"/>
                <w:szCs w:val="20"/>
              </w:rPr>
            </w:pPr>
            <w:r w:rsidRPr="00494574">
              <w:rPr>
                <w:sz w:val="20"/>
                <w:szCs w:val="20"/>
              </w:rPr>
              <w:t>0,042%</w:t>
            </w:r>
          </w:p>
        </w:tc>
      </w:tr>
      <w:tr w:rsidR="00927569" w:rsidRPr="00494574" w:rsidTr="00494574">
        <w:trPr>
          <w:jc w:val="center"/>
        </w:trPr>
        <w:tc>
          <w:tcPr>
            <w:tcW w:w="4499" w:type="dxa"/>
            <w:vAlign w:val="center"/>
          </w:tcPr>
          <w:p w:rsidR="00927569" w:rsidRPr="00494574" w:rsidRDefault="00927569" w:rsidP="00494574">
            <w:pPr>
              <w:spacing w:after="0" w:line="240" w:lineRule="auto"/>
              <w:rPr>
                <w:sz w:val="20"/>
                <w:szCs w:val="20"/>
              </w:rPr>
            </w:pPr>
            <w:r w:rsidRPr="00494574">
              <w:rPr>
                <w:sz w:val="20"/>
                <w:szCs w:val="20"/>
              </w:rPr>
              <w:t>Comune di Fauglia</w:t>
            </w:r>
          </w:p>
        </w:tc>
        <w:tc>
          <w:tcPr>
            <w:tcW w:w="1420" w:type="dxa"/>
            <w:vAlign w:val="center"/>
          </w:tcPr>
          <w:p w:rsidR="00927569" w:rsidRPr="00494574" w:rsidRDefault="00927569" w:rsidP="00494574">
            <w:pPr>
              <w:spacing w:after="0" w:line="240" w:lineRule="auto"/>
              <w:jc w:val="right"/>
              <w:rPr>
                <w:sz w:val="20"/>
                <w:szCs w:val="20"/>
              </w:rPr>
            </w:pPr>
            <w:r w:rsidRPr="00494574">
              <w:rPr>
                <w:sz w:val="20"/>
                <w:szCs w:val="20"/>
              </w:rPr>
              <w:t>2.000</w:t>
            </w:r>
          </w:p>
        </w:tc>
        <w:tc>
          <w:tcPr>
            <w:tcW w:w="1418" w:type="dxa"/>
            <w:vAlign w:val="center"/>
          </w:tcPr>
          <w:p w:rsidR="00927569" w:rsidRPr="00494574" w:rsidRDefault="00927569" w:rsidP="00494574">
            <w:pPr>
              <w:spacing w:after="0" w:line="240" w:lineRule="auto"/>
              <w:jc w:val="right"/>
              <w:rPr>
                <w:sz w:val="20"/>
                <w:szCs w:val="20"/>
              </w:rPr>
            </w:pPr>
            <w:r w:rsidRPr="00494574">
              <w:rPr>
                <w:sz w:val="20"/>
                <w:szCs w:val="20"/>
              </w:rPr>
              <w:t>1.040,00</w:t>
            </w:r>
          </w:p>
        </w:tc>
        <w:tc>
          <w:tcPr>
            <w:tcW w:w="1276" w:type="dxa"/>
            <w:vAlign w:val="center"/>
          </w:tcPr>
          <w:p w:rsidR="00927569" w:rsidRPr="00494574" w:rsidRDefault="00927569" w:rsidP="00494574">
            <w:pPr>
              <w:spacing w:after="0" w:line="240" w:lineRule="auto"/>
              <w:jc w:val="right"/>
              <w:rPr>
                <w:sz w:val="20"/>
                <w:szCs w:val="20"/>
              </w:rPr>
            </w:pPr>
            <w:r w:rsidRPr="00494574">
              <w:rPr>
                <w:sz w:val="20"/>
                <w:szCs w:val="20"/>
              </w:rPr>
              <w:t>0,038%</w:t>
            </w:r>
          </w:p>
        </w:tc>
      </w:tr>
      <w:tr w:rsidR="00927569" w:rsidRPr="00494574" w:rsidTr="00494574">
        <w:trPr>
          <w:jc w:val="center"/>
        </w:trPr>
        <w:tc>
          <w:tcPr>
            <w:tcW w:w="4499" w:type="dxa"/>
            <w:vAlign w:val="center"/>
          </w:tcPr>
          <w:p w:rsidR="00927569" w:rsidRPr="00494574" w:rsidRDefault="00927569" w:rsidP="00494574">
            <w:pPr>
              <w:spacing w:after="0" w:line="240" w:lineRule="auto"/>
              <w:rPr>
                <w:sz w:val="20"/>
                <w:szCs w:val="20"/>
              </w:rPr>
            </w:pPr>
            <w:r w:rsidRPr="00494574">
              <w:rPr>
                <w:sz w:val="20"/>
                <w:szCs w:val="20"/>
              </w:rPr>
              <w:t>Comune di Buti</w:t>
            </w:r>
          </w:p>
        </w:tc>
        <w:tc>
          <w:tcPr>
            <w:tcW w:w="1420" w:type="dxa"/>
            <w:vAlign w:val="center"/>
          </w:tcPr>
          <w:p w:rsidR="00927569" w:rsidRPr="00494574" w:rsidRDefault="00927569" w:rsidP="00494574">
            <w:pPr>
              <w:spacing w:after="0" w:line="240" w:lineRule="auto"/>
              <w:jc w:val="right"/>
              <w:rPr>
                <w:sz w:val="20"/>
                <w:szCs w:val="20"/>
              </w:rPr>
            </w:pPr>
            <w:r w:rsidRPr="00494574">
              <w:rPr>
                <w:sz w:val="20"/>
                <w:szCs w:val="20"/>
              </w:rPr>
              <w:t>1.104</w:t>
            </w:r>
          </w:p>
        </w:tc>
        <w:tc>
          <w:tcPr>
            <w:tcW w:w="1418" w:type="dxa"/>
            <w:vAlign w:val="center"/>
          </w:tcPr>
          <w:p w:rsidR="00927569" w:rsidRPr="00494574" w:rsidRDefault="00927569" w:rsidP="00494574">
            <w:pPr>
              <w:spacing w:after="0" w:line="240" w:lineRule="auto"/>
              <w:jc w:val="right"/>
              <w:rPr>
                <w:sz w:val="20"/>
                <w:szCs w:val="20"/>
              </w:rPr>
            </w:pPr>
            <w:r w:rsidRPr="00494574">
              <w:rPr>
                <w:sz w:val="20"/>
                <w:szCs w:val="20"/>
              </w:rPr>
              <w:t>574,08</w:t>
            </w:r>
          </w:p>
        </w:tc>
        <w:tc>
          <w:tcPr>
            <w:tcW w:w="1276" w:type="dxa"/>
            <w:vAlign w:val="center"/>
          </w:tcPr>
          <w:p w:rsidR="00927569" w:rsidRPr="00494574" w:rsidRDefault="00927569" w:rsidP="00494574">
            <w:pPr>
              <w:spacing w:after="0" w:line="240" w:lineRule="auto"/>
              <w:jc w:val="right"/>
              <w:rPr>
                <w:sz w:val="20"/>
                <w:szCs w:val="20"/>
              </w:rPr>
            </w:pPr>
            <w:r w:rsidRPr="00494574">
              <w:rPr>
                <w:sz w:val="20"/>
                <w:szCs w:val="20"/>
              </w:rPr>
              <w:t>0,021%</w:t>
            </w:r>
          </w:p>
        </w:tc>
      </w:tr>
      <w:tr w:rsidR="00927569" w:rsidRPr="00494574" w:rsidTr="00494574">
        <w:trPr>
          <w:jc w:val="center"/>
        </w:trPr>
        <w:tc>
          <w:tcPr>
            <w:tcW w:w="4499" w:type="dxa"/>
            <w:vAlign w:val="center"/>
          </w:tcPr>
          <w:p w:rsidR="00927569" w:rsidRPr="00494574" w:rsidRDefault="00927569" w:rsidP="00494574">
            <w:pPr>
              <w:spacing w:after="0" w:line="240" w:lineRule="auto"/>
              <w:rPr>
                <w:sz w:val="20"/>
                <w:szCs w:val="20"/>
              </w:rPr>
            </w:pPr>
            <w:r w:rsidRPr="00494574">
              <w:rPr>
                <w:sz w:val="20"/>
                <w:szCs w:val="20"/>
              </w:rPr>
              <w:t>Comune di Calcinaia</w:t>
            </w:r>
          </w:p>
        </w:tc>
        <w:tc>
          <w:tcPr>
            <w:tcW w:w="1420" w:type="dxa"/>
            <w:vAlign w:val="center"/>
          </w:tcPr>
          <w:p w:rsidR="00927569" w:rsidRPr="00494574" w:rsidRDefault="00927569" w:rsidP="00494574">
            <w:pPr>
              <w:spacing w:after="0" w:line="240" w:lineRule="auto"/>
              <w:jc w:val="right"/>
              <w:rPr>
                <w:sz w:val="20"/>
                <w:szCs w:val="20"/>
              </w:rPr>
            </w:pPr>
            <w:r w:rsidRPr="00494574">
              <w:rPr>
                <w:sz w:val="20"/>
                <w:szCs w:val="20"/>
              </w:rPr>
              <w:t>518</w:t>
            </w:r>
          </w:p>
        </w:tc>
        <w:tc>
          <w:tcPr>
            <w:tcW w:w="1418" w:type="dxa"/>
            <w:vAlign w:val="center"/>
          </w:tcPr>
          <w:p w:rsidR="00927569" w:rsidRPr="00494574" w:rsidRDefault="00927569" w:rsidP="00494574">
            <w:pPr>
              <w:spacing w:after="0" w:line="240" w:lineRule="auto"/>
              <w:jc w:val="right"/>
              <w:rPr>
                <w:sz w:val="20"/>
                <w:szCs w:val="20"/>
              </w:rPr>
            </w:pPr>
            <w:r w:rsidRPr="00494574">
              <w:rPr>
                <w:sz w:val="20"/>
                <w:szCs w:val="20"/>
              </w:rPr>
              <w:t>269,36</w:t>
            </w:r>
          </w:p>
        </w:tc>
        <w:tc>
          <w:tcPr>
            <w:tcW w:w="1276" w:type="dxa"/>
            <w:vAlign w:val="center"/>
          </w:tcPr>
          <w:p w:rsidR="00927569" w:rsidRPr="00494574" w:rsidRDefault="00927569" w:rsidP="00494574">
            <w:pPr>
              <w:spacing w:after="0" w:line="240" w:lineRule="auto"/>
              <w:jc w:val="right"/>
              <w:rPr>
                <w:sz w:val="20"/>
                <w:szCs w:val="20"/>
              </w:rPr>
            </w:pPr>
            <w:r w:rsidRPr="00494574">
              <w:rPr>
                <w:sz w:val="20"/>
                <w:szCs w:val="20"/>
              </w:rPr>
              <w:t>0,010%</w:t>
            </w:r>
          </w:p>
        </w:tc>
      </w:tr>
      <w:tr w:rsidR="00927569" w:rsidRPr="00494574" w:rsidTr="00494574">
        <w:trPr>
          <w:jc w:val="center"/>
        </w:trPr>
        <w:tc>
          <w:tcPr>
            <w:tcW w:w="4499" w:type="dxa"/>
            <w:vAlign w:val="center"/>
          </w:tcPr>
          <w:p w:rsidR="00927569" w:rsidRPr="00494574" w:rsidRDefault="00927569" w:rsidP="00494574">
            <w:pPr>
              <w:spacing w:after="0" w:line="240" w:lineRule="auto"/>
              <w:rPr>
                <w:sz w:val="20"/>
                <w:szCs w:val="20"/>
              </w:rPr>
            </w:pPr>
            <w:r w:rsidRPr="00494574">
              <w:rPr>
                <w:sz w:val="20"/>
                <w:szCs w:val="20"/>
              </w:rPr>
              <w:t>Comune di Montopoli V. Arno</w:t>
            </w:r>
          </w:p>
        </w:tc>
        <w:tc>
          <w:tcPr>
            <w:tcW w:w="1420" w:type="dxa"/>
            <w:vAlign w:val="center"/>
          </w:tcPr>
          <w:p w:rsidR="00927569" w:rsidRPr="00494574" w:rsidRDefault="00927569" w:rsidP="00494574">
            <w:pPr>
              <w:spacing w:after="0" w:line="240" w:lineRule="auto"/>
              <w:jc w:val="right"/>
              <w:rPr>
                <w:sz w:val="20"/>
                <w:szCs w:val="20"/>
              </w:rPr>
            </w:pPr>
            <w:r w:rsidRPr="00494574">
              <w:rPr>
                <w:sz w:val="20"/>
                <w:szCs w:val="20"/>
              </w:rPr>
              <w:t>518</w:t>
            </w:r>
          </w:p>
        </w:tc>
        <w:tc>
          <w:tcPr>
            <w:tcW w:w="1418" w:type="dxa"/>
            <w:vAlign w:val="center"/>
          </w:tcPr>
          <w:p w:rsidR="00927569" w:rsidRPr="00494574" w:rsidRDefault="00927569" w:rsidP="00494574">
            <w:pPr>
              <w:spacing w:after="0" w:line="240" w:lineRule="auto"/>
              <w:jc w:val="right"/>
              <w:rPr>
                <w:sz w:val="20"/>
                <w:szCs w:val="20"/>
              </w:rPr>
            </w:pPr>
            <w:r w:rsidRPr="00494574">
              <w:rPr>
                <w:sz w:val="20"/>
                <w:szCs w:val="20"/>
              </w:rPr>
              <w:t>269,36</w:t>
            </w:r>
          </w:p>
        </w:tc>
        <w:tc>
          <w:tcPr>
            <w:tcW w:w="1276" w:type="dxa"/>
            <w:vAlign w:val="center"/>
          </w:tcPr>
          <w:p w:rsidR="00927569" w:rsidRPr="00494574" w:rsidRDefault="00927569" w:rsidP="00494574">
            <w:pPr>
              <w:spacing w:after="0" w:line="240" w:lineRule="auto"/>
              <w:jc w:val="right"/>
              <w:rPr>
                <w:sz w:val="20"/>
                <w:szCs w:val="20"/>
              </w:rPr>
            </w:pPr>
            <w:r w:rsidRPr="00494574">
              <w:rPr>
                <w:sz w:val="20"/>
                <w:szCs w:val="20"/>
              </w:rPr>
              <w:t>0,010%</w:t>
            </w:r>
          </w:p>
        </w:tc>
      </w:tr>
      <w:tr w:rsidR="00927569" w:rsidRPr="00494574" w:rsidTr="00494574">
        <w:trPr>
          <w:jc w:val="center"/>
        </w:trPr>
        <w:tc>
          <w:tcPr>
            <w:tcW w:w="4499" w:type="dxa"/>
            <w:vAlign w:val="center"/>
          </w:tcPr>
          <w:p w:rsidR="00927569" w:rsidRPr="00494574" w:rsidRDefault="00927569" w:rsidP="00494574">
            <w:pPr>
              <w:spacing w:after="0" w:line="240" w:lineRule="auto"/>
              <w:rPr>
                <w:sz w:val="20"/>
                <w:szCs w:val="20"/>
              </w:rPr>
            </w:pPr>
            <w:r w:rsidRPr="00494574">
              <w:rPr>
                <w:sz w:val="20"/>
                <w:szCs w:val="20"/>
              </w:rPr>
              <w:t>Comune di Bientina</w:t>
            </w:r>
          </w:p>
        </w:tc>
        <w:tc>
          <w:tcPr>
            <w:tcW w:w="1420" w:type="dxa"/>
            <w:vAlign w:val="center"/>
          </w:tcPr>
          <w:p w:rsidR="00927569" w:rsidRPr="00494574" w:rsidRDefault="00927569" w:rsidP="00494574">
            <w:pPr>
              <w:spacing w:after="0" w:line="240" w:lineRule="auto"/>
              <w:jc w:val="right"/>
              <w:rPr>
                <w:sz w:val="20"/>
                <w:szCs w:val="20"/>
              </w:rPr>
            </w:pPr>
            <w:r w:rsidRPr="00494574">
              <w:rPr>
                <w:sz w:val="20"/>
                <w:szCs w:val="20"/>
              </w:rPr>
              <w:t>442</w:t>
            </w:r>
          </w:p>
        </w:tc>
        <w:tc>
          <w:tcPr>
            <w:tcW w:w="1418" w:type="dxa"/>
            <w:vAlign w:val="center"/>
          </w:tcPr>
          <w:p w:rsidR="00927569" w:rsidRPr="00494574" w:rsidRDefault="00927569" w:rsidP="00494574">
            <w:pPr>
              <w:spacing w:after="0" w:line="240" w:lineRule="auto"/>
              <w:jc w:val="right"/>
              <w:rPr>
                <w:sz w:val="20"/>
                <w:szCs w:val="20"/>
              </w:rPr>
            </w:pPr>
            <w:r w:rsidRPr="00494574">
              <w:rPr>
                <w:sz w:val="20"/>
                <w:szCs w:val="20"/>
              </w:rPr>
              <w:t>229,84</w:t>
            </w:r>
          </w:p>
        </w:tc>
        <w:tc>
          <w:tcPr>
            <w:tcW w:w="1276" w:type="dxa"/>
            <w:vAlign w:val="center"/>
          </w:tcPr>
          <w:p w:rsidR="00927569" w:rsidRPr="00494574" w:rsidRDefault="00927569" w:rsidP="00494574">
            <w:pPr>
              <w:spacing w:after="0" w:line="240" w:lineRule="auto"/>
              <w:jc w:val="right"/>
              <w:rPr>
                <w:sz w:val="20"/>
                <w:szCs w:val="20"/>
              </w:rPr>
            </w:pPr>
            <w:r w:rsidRPr="00494574">
              <w:rPr>
                <w:sz w:val="20"/>
                <w:szCs w:val="20"/>
              </w:rPr>
              <w:t>0,009%</w:t>
            </w:r>
          </w:p>
        </w:tc>
      </w:tr>
      <w:tr w:rsidR="00927569" w:rsidRPr="00494574" w:rsidTr="00494574">
        <w:trPr>
          <w:jc w:val="center"/>
        </w:trPr>
        <w:tc>
          <w:tcPr>
            <w:tcW w:w="4499" w:type="dxa"/>
            <w:vAlign w:val="center"/>
          </w:tcPr>
          <w:p w:rsidR="00927569" w:rsidRPr="00494574" w:rsidRDefault="00927569" w:rsidP="00494574">
            <w:pPr>
              <w:spacing w:after="0" w:line="240" w:lineRule="auto"/>
              <w:rPr>
                <w:sz w:val="20"/>
                <w:szCs w:val="20"/>
              </w:rPr>
            </w:pPr>
            <w:r w:rsidRPr="00494574">
              <w:rPr>
                <w:sz w:val="20"/>
                <w:szCs w:val="20"/>
              </w:rPr>
              <w:t>Comune di Castelfranco di Sotto</w:t>
            </w:r>
          </w:p>
        </w:tc>
        <w:tc>
          <w:tcPr>
            <w:tcW w:w="1420" w:type="dxa"/>
            <w:vAlign w:val="center"/>
          </w:tcPr>
          <w:p w:rsidR="00927569" w:rsidRPr="00494574" w:rsidRDefault="00927569" w:rsidP="00494574">
            <w:pPr>
              <w:spacing w:after="0" w:line="240" w:lineRule="auto"/>
              <w:jc w:val="right"/>
              <w:rPr>
                <w:sz w:val="20"/>
                <w:szCs w:val="20"/>
              </w:rPr>
            </w:pPr>
            <w:r w:rsidRPr="00494574">
              <w:rPr>
                <w:sz w:val="20"/>
                <w:szCs w:val="20"/>
              </w:rPr>
              <w:t>442</w:t>
            </w:r>
          </w:p>
        </w:tc>
        <w:tc>
          <w:tcPr>
            <w:tcW w:w="1418" w:type="dxa"/>
            <w:vAlign w:val="center"/>
          </w:tcPr>
          <w:p w:rsidR="00927569" w:rsidRPr="00494574" w:rsidRDefault="00927569" w:rsidP="00494574">
            <w:pPr>
              <w:spacing w:after="0" w:line="240" w:lineRule="auto"/>
              <w:jc w:val="right"/>
              <w:rPr>
                <w:sz w:val="20"/>
                <w:szCs w:val="20"/>
              </w:rPr>
            </w:pPr>
            <w:r w:rsidRPr="00494574">
              <w:rPr>
                <w:sz w:val="20"/>
                <w:szCs w:val="20"/>
              </w:rPr>
              <w:t>229,84</w:t>
            </w:r>
          </w:p>
        </w:tc>
        <w:tc>
          <w:tcPr>
            <w:tcW w:w="1276" w:type="dxa"/>
            <w:vAlign w:val="center"/>
          </w:tcPr>
          <w:p w:rsidR="00927569" w:rsidRPr="00494574" w:rsidRDefault="00927569" w:rsidP="00494574">
            <w:pPr>
              <w:spacing w:after="0" w:line="240" w:lineRule="auto"/>
              <w:jc w:val="right"/>
              <w:rPr>
                <w:sz w:val="20"/>
                <w:szCs w:val="20"/>
              </w:rPr>
            </w:pPr>
            <w:r w:rsidRPr="00494574">
              <w:rPr>
                <w:sz w:val="20"/>
                <w:szCs w:val="20"/>
              </w:rPr>
              <w:t>0,009%</w:t>
            </w:r>
          </w:p>
        </w:tc>
      </w:tr>
      <w:tr w:rsidR="00927569" w:rsidRPr="00494574" w:rsidTr="00494574">
        <w:trPr>
          <w:jc w:val="center"/>
        </w:trPr>
        <w:tc>
          <w:tcPr>
            <w:tcW w:w="4499" w:type="dxa"/>
            <w:vAlign w:val="center"/>
          </w:tcPr>
          <w:p w:rsidR="00927569" w:rsidRPr="00494574" w:rsidRDefault="00927569" w:rsidP="00494574">
            <w:pPr>
              <w:spacing w:after="0" w:line="240" w:lineRule="auto"/>
              <w:rPr>
                <w:sz w:val="20"/>
                <w:szCs w:val="20"/>
              </w:rPr>
            </w:pPr>
            <w:r w:rsidRPr="00494574">
              <w:rPr>
                <w:sz w:val="20"/>
                <w:szCs w:val="20"/>
              </w:rPr>
              <w:t>Comune di Palaia</w:t>
            </w:r>
          </w:p>
        </w:tc>
        <w:tc>
          <w:tcPr>
            <w:tcW w:w="1420" w:type="dxa"/>
            <w:vAlign w:val="center"/>
          </w:tcPr>
          <w:p w:rsidR="00927569" w:rsidRPr="00494574" w:rsidRDefault="00927569" w:rsidP="00494574">
            <w:pPr>
              <w:spacing w:after="0" w:line="240" w:lineRule="auto"/>
              <w:jc w:val="right"/>
              <w:rPr>
                <w:sz w:val="20"/>
                <w:szCs w:val="20"/>
              </w:rPr>
            </w:pPr>
            <w:r w:rsidRPr="00494574">
              <w:rPr>
                <w:sz w:val="20"/>
                <w:szCs w:val="20"/>
              </w:rPr>
              <w:t>346</w:t>
            </w:r>
          </w:p>
        </w:tc>
        <w:tc>
          <w:tcPr>
            <w:tcW w:w="1418" w:type="dxa"/>
            <w:vAlign w:val="center"/>
          </w:tcPr>
          <w:p w:rsidR="00927569" w:rsidRPr="00494574" w:rsidRDefault="00927569" w:rsidP="00494574">
            <w:pPr>
              <w:spacing w:after="0" w:line="240" w:lineRule="auto"/>
              <w:jc w:val="right"/>
              <w:rPr>
                <w:sz w:val="20"/>
                <w:szCs w:val="20"/>
              </w:rPr>
            </w:pPr>
            <w:r w:rsidRPr="00494574">
              <w:rPr>
                <w:sz w:val="20"/>
                <w:szCs w:val="20"/>
              </w:rPr>
              <w:t>179,92</w:t>
            </w:r>
          </w:p>
        </w:tc>
        <w:tc>
          <w:tcPr>
            <w:tcW w:w="1276" w:type="dxa"/>
            <w:vAlign w:val="center"/>
          </w:tcPr>
          <w:p w:rsidR="00927569" w:rsidRPr="00494574" w:rsidRDefault="00927569" w:rsidP="00494574">
            <w:pPr>
              <w:spacing w:after="0" w:line="240" w:lineRule="auto"/>
              <w:jc w:val="right"/>
              <w:rPr>
                <w:sz w:val="20"/>
                <w:szCs w:val="20"/>
              </w:rPr>
            </w:pPr>
            <w:r w:rsidRPr="00494574">
              <w:rPr>
                <w:sz w:val="20"/>
                <w:szCs w:val="20"/>
              </w:rPr>
              <w:t>0,007%</w:t>
            </w:r>
          </w:p>
        </w:tc>
      </w:tr>
      <w:tr w:rsidR="00927569" w:rsidRPr="00494574" w:rsidTr="00494574">
        <w:trPr>
          <w:jc w:val="center"/>
        </w:trPr>
        <w:tc>
          <w:tcPr>
            <w:tcW w:w="4499" w:type="dxa"/>
            <w:vAlign w:val="center"/>
          </w:tcPr>
          <w:p w:rsidR="00927569" w:rsidRPr="00494574" w:rsidRDefault="00927569" w:rsidP="00494574">
            <w:pPr>
              <w:spacing w:after="0" w:line="240" w:lineRule="auto"/>
              <w:rPr>
                <w:sz w:val="20"/>
                <w:szCs w:val="20"/>
              </w:rPr>
            </w:pPr>
            <w:r w:rsidRPr="00494574">
              <w:rPr>
                <w:sz w:val="20"/>
                <w:szCs w:val="20"/>
              </w:rPr>
              <w:t>Comune di Chianni</w:t>
            </w:r>
          </w:p>
        </w:tc>
        <w:tc>
          <w:tcPr>
            <w:tcW w:w="1420" w:type="dxa"/>
            <w:vAlign w:val="center"/>
          </w:tcPr>
          <w:p w:rsidR="00927569" w:rsidRPr="00494574" w:rsidRDefault="00927569" w:rsidP="00494574">
            <w:pPr>
              <w:spacing w:after="0" w:line="240" w:lineRule="auto"/>
              <w:jc w:val="right"/>
              <w:rPr>
                <w:sz w:val="20"/>
                <w:szCs w:val="20"/>
              </w:rPr>
            </w:pPr>
            <w:r w:rsidRPr="00494574">
              <w:rPr>
                <w:sz w:val="20"/>
                <w:szCs w:val="20"/>
              </w:rPr>
              <w:t>258</w:t>
            </w:r>
          </w:p>
        </w:tc>
        <w:tc>
          <w:tcPr>
            <w:tcW w:w="1418" w:type="dxa"/>
            <w:vAlign w:val="center"/>
          </w:tcPr>
          <w:p w:rsidR="00927569" w:rsidRPr="00494574" w:rsidRDefault="00927569" w:rsidP="00494574">
            <w:pPr>
              <w:spacing w:after="0" w:line="240" w:lineRule="auto"/>
              <w:jc w:val="right"/>
              <w:rPr>
                <w:sz w:val="20"/>
                <w:szCs w:val="20"/>
              </w:rPr>
            </w:pPr>
            <w:r w:rsidRPr="00494574">
              <w:rPr>
                <w:sz w:val="20"/>
                <w:szCs w:val="20"/>
              </w:rPr>
              <w:t>134,16</w:t>
            </w:r>
          </w:p>
        </w:tc>
        <w:tc>
          <w:tcPr>
            <w:tcW w:w="1276" w:type="dxa"/>
            <w:vAlign w:val="center"/>
          </w:tcPr>
          <w:p w:rsidR="00927569" w:rsidRPr="00494574" w:rsidRDefault="00927569" w:rsidP="00494574">
            <w:pPr>
              <w:spacing w:after="0" w:line="240" w:lineRule="auto"/>
              <w:jc w:val="right"/>
              <w:rPr>
                <w:sz w:val="20"/>
                <w:szCs w:val="20"/>
              </w:rPr>
            </w:pPr>
            <w:r w:rsidRPr="00494574">
              <w:rPr>
                <w:sz w:val="20"/>
                <w:szCs w:val="20"/>
              </w:rPr>
              <w:t>0,005%</w:t>
            </w:r>
          </w:p>
        </w:tc>
      </w:tr>
      <w:tr w:rsidR="00927569" w:rsidRPr="00494574" w:rsidTr="00494574">
        <w:trPr>
          <w:jc w:val="center"/>
        </w:trPr>
        <w:tc>
          <w:tcPr>
            <w:tcW w:w="4499" w:type="dxa"/>
            <w:vAlign w:val="center"/>
          </w:tcPr>
          <w:p w:rsidR="00927569" w:rsidRPr="00494574" w:rsidRDefault="00927569" w:rsidP="00494574">
            <w:pPr>
              <w:spacing w:after="0" w:line="240" w:lineRule="auto"/>
              <w:rPr>
                <w:sz w:val="20"/>
                <w:szCs w:val="20"/>
              </w:rPr>
            </w:pPr>
            <w:r w:rsidRPr="00494574">
              <w:rPr>
                <w:sz w:val="20"/>
                <w:szCs w:val="20"/>
              </w:rPr>
              <w:t xml:space="preserve">Comune di Casciana Terme Lari </w:t>
            </w:r>
          </w:p>
        </w:tc>
        <w:tc>
          <w:tcPr>
            <w:tcW w:w="1420" w:type="dxa"/>
            <w:vAlign w:val="center"/>
          </w:tcPr>
          <w:p w:rsidR="00927569" w:rsidRPr="00494574" w:rsidRDefault="00927569" w:rsidP="00494574">
            <w:pPr>
              <w:spacing w:after="0" w:line="240" w:lineRule="auto"/>
              <w:jc w:val="right"/>
              <w:rPr>
                <w:sz w:val="20"/>
                <w:szCs w:val="20"/>
              </w:rPr>
            </w:pPr>
            <w:r w:rsidRPr="00494574">
              <w:rPr>
                <w:sz w:val="20"/>
                <w:szCs w:val="20"/>
              </w:rPr>
              <w:t>2.280</w:t>
            </w:r>
          </w:p>
        </w:tc>
        <w:tc>
          <w:tcPr>
            <w:tcW w:w="1418" w:type="dxa"/>
            <w:vAlign w:val="center"/>
          </w:tcPr>
          <w:p w:rsidR="00927569" w:rsidRPr="00494574" w:rsidRDefault="00927569" w:rsidP="00494574">
            <w:pPr>
              <w:spacing w:after="0" w:line="240" w:lineRule="auto"/>
              <w:jc w:val="right"/>
              <w:rPr>
                <w:sz w:val="20"/>
                <w:szCs w:val="20"/>
              </w:rPr>
            </w:pPr>
            <w:r w:rsidRPr="00494574">
              <w:rPr>
                <w:sz w:val="20"/>
                <w:szCs w:val="20"/>
              </w:rPr>
              <w:t>1.185,60</w:t>
            </w:r>
          </w:p>
        </w:tc>
        <w:tc>
          <w:tcPr>
            <w:tcW w:w="1276" w:type="dxa"/>
            <w:vAlign w:val="center"/>
          </w:tcPr>
          <w:p w:rsidR="00927569" w:rsidRPr="00494574" w:rsidRDefault="00927569" w:rsidP="00494574">
            <w:pPr>
              <w:spacing w:after="0" w:line="240" w:lineRule="auto"/>
              <w:jc w:val="right"/>
              <w:rPr>
                <w:sz w:val="20"/>
                <w:szCs w:val="20"/>
              </w:rPr>
            </w:pPr>
            <w:r w:rsidRPr="00494574">
              <w:rPr>
                <w:sz w:val="20"/>
                <w:szCs w:val="20"/>
              </w:rPr>
              <w:t>0,044%</w:t>
            </w:r>
          </w:p>
        </w:tc>
      </w:tr>
      <w:tr w:rsidR="00927569" w:rsidRPr="00494574" w:rsidTr="00494574">
        <w:trPr>
          <w:jc w:val="center"/>
        </w:trPr>
        <w:tc>
          <w:tcPr>
            <w:tcW w:w="4499" w:type="dxa"/>
            <w:vAlign w:val="center"/>
          </w:tcPr>
          <w:p w:rsidR="00927569" w:rsidRPr="00494574" w:rsidRDefault="00927569" w:rsidP="00494574">
            <w:pPr>
              <w:spacing w:after="0" w:line="240" w:lineRule="auto"/>
              <w:rPr>
                <w:sz w:val="20"/>
                <w:szCs w:val="20"/>
              </w:rPr>
            </w:pPr>
            <w:r w:rsidRPr="00494574">
              <w:rPr>
                <w:sz w:val="20"/>
                <w:szCs w:val="20"/>
              </w:rPr>
              <w:t xml:space="preserve">Cassa di Risparmio di San Miniato S.p.A. </w:t>
            </w:r>
          </w:p>
        </w:tc>
        <w:tc>
          <w:tcPr>
            <w:tcW w:w="1420" w:type="dxa"/>
            <w:vAlign w:val="center"/>
          </w:tcPr>
          <w:p w:rsidR="00927569" w:rsidRPr="00494574" w:rsidRDefault="00927569" w:rsidP="00494574">
            <w:pPr>
              <w:spacing w:after="0" w:line="240" w:lineRule="auto"/>
              <w:jc w:val="right"/>
              <w:rPr>
                <w:sz w:val="20"/>
                <w:szCs w:val="20"/>
              </w:rPr>
            </w:pPr>
            <w:r w:rsidRPr="00494574">
              <w:rPr>
                <w:sz w:val="20"/>
                <w:szCs w:val="20"/>
              </w:rPr>
              <w:t>44.000</w:t>
            </w:r>
          </w:p>
        </w:tc>
        <w:tc>
          <w:tcPr>
            <w:tcW w:w="1418" w:type="dxa"/>
            <w:vAlign w:val="center"/>
          </w:tcPr>
          <w:p w:rsidR="00927569" w:rsidRPr="00494574" w:rsidRDefault="00927569" w:rsidP="00494574">
            <w:pPr>
              <w:spacing w:after="0" w:line="240" w:lineRule="auto"/>
              <w:jc w:val="right"/>
              <w:rPr>
                <w:sz w:val="20"/>
                <w:szCs w:val="20"/>
              </w:rPr>
            </w:pPr>
            <w:r w:rsidRPr="00494574">
              <w:rPr>
                <w:sz w:val="20"/>
                <w:szCs w:val="20"/>
              </w:rPr>
              <w:t>22.880,00</w:t>
            </w:r>
          </w:p>
        </w:tc>
        <w:tc>
          <w:tcPr>
            <w:tcW w:w="1276" w:type="dxa"/>
            <w:vAlign w:val="center"/>
          </w:tcPr>
          <w:p w:rsidR="00927569" w:rsidRPr="00494574" w:rsidRDefault="00927569" w:rsidP="00494574">
            <w:pPr>
              <w:spacing w:after="0" w:line="240" w:lineRule="auto"/>
              <w:jc w:val="right"/>
              <w:rPr>
                <w:sz w:val="20"/>
                <w:szCs w:val="20"/>
              </w:rPr>
            </w:pPr>
            <w:r w:rsidRPr="00494574">
              <w:rPr>
                <w:sz w:val="20"/>
                <w:szCs w:val="20"/>
              </w:rPr>
              <w:t>0,846%</w:t>
            </w:r>
          </w:p>
        </w:tc>
      </w:tr>
      <w:tr w:rsidR="00927569" w:rsidRPr="00494574" w:rsidTr="00494574">
        <w:trPr>
          <w:jc w:val="center"/>
        </w:trPr>
        <w:tc>
          <w:tcPr>
            <w:tcW w:w="4499" w:type="dxa"/>
            <w:vAlign w:val="center"/>
          </w:tcPr>
          <w:p w:rsidR="00927569" w:rsidRPr="00494574" w:rsidRDefault="00927569" w:rsidP="00494574">
            <w:pPr>
              <w:spacing w:after="0" w:line="240" w:lineRule="auto"/>
              <w:rPr>
                <w:sz w:val="20"/>
                <w:szCs w:val="20"/>
              </w:rPr>
            </w:pPr>
            <w:r w:rsidRPr="00494574">
              <w:rPr>
                <w:sz w:val="20"/>
                <w:szCs w:val="20"/>
              </w:rPr>
              <w:t>Banca di Pisa e Fornacette Credito Cooperativo</w:t>
            </w:r>
          </w:p>
        </w:tc>
        <w:tc>
          <w:tcPr>
            <w:tcW w:w="1420" w:type="dxa"/>
            <w:vAlign w:val="center"/>
          </w:tcPr>
          <w:p w:rsidR="00927569" w:rsidRPr="00494574" w:rsidRDefault="00927569" w:rsidP="00494574">
            <w:pPr>
              <w:spacing w:after="0" w:line="240" w:lineRule="auto"/>
              <w:jc w:val="right"/>
              <w:rPr>
                <w:sz w:val="20"/>
                <w:szCs w:val="20"/>
              </w:rPr>
            </w:pPr>
            <w:r w:rsidRPr="00494574">
              <w:rPr>
                <w:sz w:val="20"/>
                <w:szCs w:val="20"/>
              </w:rPr>
              <w:t>36.000</w:t>
            </w:r>
          </w:p>
        </w:tc>
        <w:tc>
          <w:tcPr>
            <w:tcW w:w="1418" w:type="dxa"/>
            <w:vAlign w:val="center"/>
          </w:tcPr>
          <w:p w:rsidR="00927569" w:rsidRPr="00494574" w:rsidRDefault="00927569" w:rsidP="00494574">
            <w:pPr>
              <w:spacing w:after="0" w:line="240" w:lineRule="auto"/>
              <w:jc w:val="right"/>
              <w:rPr>
                <w:sz w:val="20"/>
                <w:szCs w:val="20"/>
              </w:rPr>
            </w:pPr>
            <w:r w:rsidRPr="00494574">
              <w:rPr>
                <w:sz w:val="20"/>
                <w:szCs w:val="20"/>
              </w:rPr>
              <w:t>18.720,00</w:t>
            </w:r>
          </w:p>
        </w:tc>
        <w:tc>
          <w:tcPr>
            <w:tcW w:w="1276" w:type="dxa"/>
            <w:vAlign w:val="center"/>
          </w:tcPr>
          <w:p w:rsidR="00927569" w:rsidRPr="00494574" w:rsidRDefault="00927569" w:rsidP="00494574">
            <w:pPr>
              <w:spacing w:after="0" w:line="240" w:lineRule="auto"/>
              <w:jc w:val="right"/>
              <w:rPr>
                <w:sz w:val="20"/>
                <w:szCs w:val="20"/>
              </w:rPr>
            </w:pPr>
            <w:r w:rsidRPr="00494574">
              <w:rPr>
                <w:sz w:val="20"/>
                <w:szCs w:val="20"/>
              </w:rPr>
              <w:t>0,692%</w:t>
            </w:r>
          </w:p>
        </w:tc>
      </w:tr>
      <w:tr w:rsidR="00927569" w:rsidRPr="00494574" w:rsidTr="00494574">
        <w:trPr>
          <w:jc w:val="center"/>
        </w:trPr>
        <w:tc>
          <w:tcPr>
            <w:tcW w:w="4499" w:type="dxa"/>
            <w:vAlign w:val="center"/>
          </w:tcPr>
          <w:p w:rsidR="00927569" w:rsidRPr="00844DDD" w:rsidRDefault="00927569" w:rsidP="00494574">
            <w:pPr>
              <w:spacing w:after="0" w:line="240" w:lineRule="auto"/>
              <w:rPr>
                <w:sz w:val="20"/>
                <w:szCs w:val="20"/>
                <w:lang w:val="en-GB"/>
              </w:rPr>
            </w:pPr>
            <w:r w:rsidRPr="00844DDD">
              <w:rPr>
                <w:sz w:val="20"/>
                <w:szCs w:val="20"/>
                <w:lang w:val="en-GB"/>
              </w:rPr>
              <w:t>Forti Holding S.p.A.</w:t>
            </w:r>
          </w:p>
        </w:tc>
        <w:tc>
          <w:tcPr>
            <w:tcW w:w="1420" w:type="dxa"/>
            <w:vAlign w:val="center"/>
          </w:tcPr>
          <w:p w:rsidR="00927569" w:rsidRPr="00A06A57" w:rsidRDefault="00927569" w:rsidP="00494574">
            <w:pPr>
              <w:spacing w:after="0" w:line="240" w:lineRule="auto"/>
              <w:jc w:val="right"/>
              <w:rPr>
                <w:sz w:val="20"/>
                <w:szCs w:val="20"/>
              </w:rPr>
            </w:pPr>
            <w:r w:rsidRPr="00A06A57">
              <w:rPr>
                <w:sz w:val="20"/>
                <w:szCs w:val="20"/>
              </w:rPr>
              <w:t>949.708,80</w:t>
            </w:r>
          </w:p>
        </w:tc>
        <w:tc>
          <w:tcPr>
            <w:tcW w:w="1418" w:type="dxa"/>
            <w:vAlign w:val="center"/>
          </w:tcPr>
          <w:p w:rsidR="00927569" w:rsidRPr="00A06A57" w:rsidRDefault="00927569" w:rsidP="00494574">
            <w:pPr>
              <w:spacing w:after="0" w:line="240" w:lineRule="auto"/>
              <w:jc w:val="right"/>
              <w:rPr>
                <w:sz w:val="20"/>
                <w:szCs w:val="20"/>
              </w:rPr>
            </w:pPr>
            <w:r w:rsidRPr="00A06A57">
              <w:rPr>
                <w:sz w:val="20"/>
                <w:szCs w:val="20"/>
              </w:rPr>
              <w:t>493.708,80</w:t>
            </w:r>
          </w:p>
        </w:tc>
        <w:tc>
          <w:tcPr>
            <w:tcW w:w="1276" w:type="dxa"/>
            <w:vAlign w:val="center"/>
          </w:tcPr>
          <w:p w:rsidR="00927569" w:rsidRPr="00A06A57" w:rsidRDefault="00927569" w:rsidP="00494574">
            <w:pPr>
              <w:spacing w:after="0" w:line="240" w:lineRule="auto"/>
              <w:jc w:val="right"/>
              <w:rPr>
                <w:sz w:val="20"/>
                <w:szCs w:val="20"/>
              </w:rPr>
            </w:pPr>
            <w:r w:rsidRPr="00A06A57">
              <w:rPr>
                <w:sz w:val="20"/>
                <w:szCs w:val="20"/>
              </w:rPr>
              <w:t>18,258%</w:t>
            </w:r>
          </w:p>
        </w:tc>
      </w:tr>
      <w:tr w:rsidR="00927569" w:rsidRPr="00494574" w:rsidTr="00494574">
        <w:trPr>
          <w:jc w:val="center"/>
        </w:trPr>
        <w:tc>
          <w:tcPr>
            <w:tcW w:w="4499" w:type="dxa"/>
            <w:vAlign w:val="center"/>
          </w:tcPr>
          <w:p w:rsidR="00927569" w:rsidRPr="00A06A57" w:rsidRDefault="00927569" w:rsidP="00494574">
            <w:pPr>
              <w:spacing w:after="0" w:line="240" w:lineRule="auto"/>
              <w:rPr>
                <w:sz w:val="20"/>
                <w:szCs w:val="20"/>
              </w:rPr>
            </w:pPr>
            <w:r w:rsidRPr="00A06A57">
              <w:rPr>
                <w:sz w:val="20"/>
                <w:szCs w:val="20"/>
              </w:rPr>
              <w:t>Pisambiente S.r.l.</w:t>
            </w:r>
          </w:p>
        </w:tc>
        <w:tc>
          <w:tcPr>
            <w:tcW w:w="1420" w:type="dxa"/>
            <w:vAlign w:val="center"/>
          </w:tcPr>
          <w:p w:rsidR="00927569" w:rsidRPr="00A06A57" w:rsidRDefault="00927569" w:rsidP="00494574">
            <w:pPr>
              <w:spacing w:after="0" w:line="240" w:lineRule="auto"/>
              <w:jc w:val="right"/>
              <w:rPr>
                <w:sz w:val="20"/>
                <w:szCs w:val="20"/>
              </w:rPr>
            </w:pPr>
            <w:r w:rsidRPr="00A06A57">
              <w:rPr>
                <w:sz w:val="20"/>
                <w:szCs w:val="20"/>
              </w:rPr>
              <w:t>1.006.560</w:t>
            </w:r>
          </w:p>
        </w:tc>
        <w:tc>
          <w:tcPr>
            <w:tcW w:w="1418" w:type="dxa"/>
            <w:vAlign w:val="center"/>
          </w:tcPr>
          <w:p w:rsidR="00927569" w:rsidRPr="00A06A57" w:rsidRDefault="00927569" w:rsidP="00494574">
            <w:pPr>
              <w:spacing w:after="0" w:line="240" w:lineRule="auto"/>
              <w:jc w:val="right"/>
              <w:rPr>
                <w:sz w:val="20"/>
                <w:szCs w:val="20"/>
              </w:rPr>
            </w:pPr>
            <w:r w:rsidRPr="00A06A57">
              <w:rPr>
                <w:sz w:val="20"/>
                <w:szCs w:val="20"/>
              </w:rPr>
              <w:t>523.411,20</w:t>
            </w:r>
          </w:p>
        </w:tc>
        <w:tc>
          <w:tcPr>
            <w:tcW w:w="1276" w:type="dxa"/>
            <w:vAlign w:val="center"/>
          </w:tcPr>
          <w:p w:rsidR="00927569" w:rsidRPr="00A06A57" w:rsidRDefault="00927569" w:rsidP="00494574">
            <w:pPr>
              <w:spacing w:after="0" w:line="240" w:lineRule="auto"/>
              <w:jc w:val="right"/>
              <w:rPr>
                <w:sz w:val="20"/>
                <w:szCs w:val="20"/>
              </w:rPr>
            </w:pPr>
            <w:r w:rsidRPr="00A06A57">
              <w:rPr>
                <w:sz w:val="20"/>
                <w:szCs w:val="20"/>
              </w:rPr>
              <w:t>19,357%</w:t>
            </w:r>
          </w:p>
        </w:tc>
      </w:tr>
      <w:tr w:rsidR="00927569" w:rsidRPr="00494574" w:rsidTr="00494574">
        <w:trPr>
          <w:jc w:val="center"/>
        </w:trPr>
        <w:tc>
          <w:tcPr>
            <w:tcW w:w="4499" w:type="dxa"/>
            <w:vAlign w:val="center"/>
          </w:tcPr>
          <w:p w:rsidR="00927569" w:rsidRPr="00494574" w:rsidRDefault="00927569" w:rsidP="00494574">
            <w:pPr>
              <w:spacing w:after="0" w:line="240" w:lineRule="auto"/>
              <w:rPr>
                <w:sz w:val="20"/>
                <w:szCs w:val="20"/>
              </w:rPr>
            </w:pPr>
            <w:r w:rsidRPr="00494574">
              <w:rPr>
                <w:sz w:val="20"/>
                <w:szCs w:val="20"/>
              </w:rPr>
              <w:t xml:space="preserve">Impresa Lavori Ing. Umberto Forti e Figlio S.p.A. </w:t>
            </w:r>
          </w:p>
        </w:tc>
        <w:tc>
          <w:tcPr>
            <w:tcW w:w="1420" w:type="dxa"/>
            <w:vAlign w:val="center"/>
          </w:tcPr>
          <w:p w:rsidR="00927569" w:rsidRPr="00494574" w:rsidRDefault="00927569" w:rsidP="00494574">
            <w:pPr>
              <w:spacing w:after="0" w:line="240" w:lineRule="auto"/>
              <w:jc w:val="right"/>
              <w:rPr>
                <w:sz w:val="20"/>
                <w:szCs w:val="20"/>
              </w:rPr>
            </w:pPr>
            <w:r w:rsidRPr="00494574">
              <w:rPr>
                <w:sz w:val="20"/>
                <w:szCs w:val="20"/>
              </w:rPr>
              <w:t>18.000</w:t>
            </w:r>
          </w:p>
        </w:tc>
        <w:tc>
          <w:tcPr>
            <w:tcW w:w="1418" w:type="dxa"/>
            <w:vAlign w:val="center"/>
          </w:tcPr>
          <w:p w:rsidR="00927569" w:rsidRPr="00494574" w:rsidRDefault="00927569" w:rsidP="00494574">
            <w:pPr>
              <w:spacing w:after="0" w:line="240" w:lineRule="auto"/>
              <w:jc w:val="right"/>
              <w:rPr>
                <w:sz w:val="20"/>
                <w:szCs w:val="20"/>
              </w:rPr>
            </w:pPr>
            <w:r w:rsidRPr="00494574">
              <w:rPr>
                <w:sz w:val="20"/>
                <w:szCs w:val="20"/>
              </w:rPr>
              <w:t>9.360,00</w:t>
            </w:r>
          </w:p>
        </w:tc>
        <w:tc>
          <w:tcPr>
            <w:tcW w:w="1276" w:type="dxa"/>
            <w:vAlign w:val="center"/>
          </w:tcPr>
          <w:p w:rsidR="00927569" w:rsidRPr="00494574" w:rsidRDefault="00927569" w:rsidP="00494574">
            <w:pPr>
              <w:spacing w:after="0" w:line="240" w:lineRule="auto"/>
              <w:jc w:val="right"/>
              <w:rPr>
                <w:sz w:val="20"/>
                <w:szCs w:val="20"/>
              </w:rPr>
            </w:pPr>
            <w:r w:rsidRPr="00494574">
              <w:rPr>
                <w:sz w:val="20"/>
                <w:szCs w:val="20"/>
              </w:rPr>
              <w:t>0,346%</w:t>
            </w:r>
          </w:p>
        </w:tc>
      </w:tr>
      <w:tr w:rsidR="00927569" w:rsidRPr="00494574" w:rsidTr="00494574">
        <w:trPr>
          <w:jc w:val="center"/>
        </w:trPr>
        <w:tc>
          <w:tcPr>
            <w:tcW w:w="4499" w:type="dxa"/>
            <w:vAlign w:val="center"/>
          </w:tcPr>
          <w:p w:rsidR="00927569" w:rsidRPr="00494574" w:rsidRDefault="00927569" w:rsidP="00494574">
            <w:pPr>
              <w:spacing w:after="0" w:line="240" w:lineRule="auto"/>
              <w:rPr>
                <w:sz w:val="20"/>
                <w:szCs w:val="20"/>
              </w:rPr>
            </w:pPr>
            <w:r w:rsidRPr="00494574">
              <w:rPr>
                <w:sz w:val="20"/>
                <w:szCs w:val="20"/>
              </w:rPr>
              <w:t>Piaggio &amp; C. S.p.A.</w:t>
            </w:r>
          </w:p>
        </w:tc>
        <w:tc>
          <w:tcPr>
            <w:tcW w:w="1420" w:type="dxa"/>
            <w:vAlign w:val="center"/>
          </w:tcPr>
          <w:p w:rsidR="00927569" w:rsidRPr="00494574" w:rsidRDefault="00927569" w:rsidP="00494574">
            <w:pPr>
              <w:spacing w:after="0" w:line="240" w:lineRule="auto"/>
              <w:jc w:val="right"/>
              <w:rPr>
                <w:sz w:val="20"/>
                <w:szCs w:val="20"/>
              </w:rPr>
            </w:pPr>
            <w:r w:rsidRPr="00494574">
              <w:rPr>
                <w:sz w:val="20"/>
                <w:szCs w:val="20"/>
              </w:rPr>
              <w:t>26.000</w:t>
            </w:r>
          </w:p>
        </w:tc>
        <w:tc>
          <w:tcPr>
            <w:tcW w:w="1418" w:type="dxa"/>
            <w:vAlign w:val="center"/>
          </w:tcPr>
          <w:p w:rsidR="00927569" w:rsidRPr="00494574" w:rsidRDefault="00927569" w:rsidP="00494574">
            <w:pPr>
              <w:spacing w:after="0" w:line="240" w:lineRule="auto"/>
              <w:jc w:val="right"/>
              <w:rPr>
                <w:sz w:val="20"/>
                <w:szCs w:val="20"/>
              </w:rPr>
            </w:pPr>
            <w:r w:rsidRPr="00494574">
              <w:rPr>
                <w:sz w:val="20"/>
                <w:szCs w:val="20"/>
              </w:rPr>
              <w:t>13.520,00</w:t>
            </w:r>
          </w:p>
        </w:tc>
        <w:tc>
          <w:tcPr>
            <w:tcW w:w="1276" w:type="dxa"/>
            <w:vAlign w:val="center"/>
          </w:tcPr>
          <w:p w:rsidR="00927569" w:rsidRPr="00494574" w:rsidRDefault="00927569" w:rsidP="00494574">
            <w:pPr>
              <w:spacing w:after="0" w:line="240" w:lineRule="auto"/>
              <w:jc w:val="right"/>
              <w:rPr>
                <w:sz w:val="20"/>
                <w:szCs w:val="20"/>
              </w:rPr>
            </w:pPr>
            <w:r w:rsidRPr="00494574">
              <w:rPr>
                <w:sz w:val="20"/>
                <w:szCs w:val="20"/>
              </w:rPr>
              <w:t>0,500%</w:t>
            </w:r>
          </w:p>
        </w:tc>
      </w:tr>
      <w:tr w:rsidR="00927569" w:rsidRPr="00494574" w:rsidTr="00494574">
        <w:trPr>
          <w:trHeight w:val="394"/>
          <w:jc w:val="center"/>
        </w:trPr>
        <w:tc>
          <w:tcPr>
            <w:tcW w:w="4499" w:type="dxa"/>
            <w:vAlign w:val="center"/>
          </w:tcPr>
          <w:p w:rsidR="00927569" w:rsidRPr="00494574" w:rsidRDefault="00927569" w:rsidP="00494574">
            <w:pPr>
              <w:spacing w:after="0" w:line="240" w:lineRule="auto"/>
              <w:jc w:val="right"/>
              <w:rPr>
                <w:b/>
                <w:sz w:val="20"/>
                <w:szCs w:val="20"/>
              </w:rPr>
            </w:pPr>
            <w:r w:rsidRPr="00494574">
              <w:rPr>
                <w:b/>
                <w:sz w:val="20"/>
                <w:szCs w:val="20"/>
              </w:rPr>
              <w:t>TOTALE</w:t>
            </w:r>
          </w:p>
        </w:tc>
        <w:tc>
          <w:tcPr>
            <w:tcW w:w="1420" w:type="dxa"/>
            <w:vAlign w:val="center"/>
          </w:tcPr>
          <w:p w:rsidR="00927569" w:rsidRPr="00494574" w:rsidRDefault="00927569" w:rsidP="00494574">
            <w:pPr>
              <w:spacing w:after="0" w:line="240" w:lineRule="auto"/>
              <w:jc w:val="right"/>
              <w:rPr>
                <w:b/>
                <w:sz w:val="20"/>
                <w:szCs w:val="20"/>
              </w:rPr>
            </w:pPr>
            <w:r w:rsidRPr="00494574">
              <w:rPr>
                <w:b/>
                <w:sz w:val="20"/>
                <w:szCs w:val="20"/>
              </w:rPr>
              <w:t>5.200.000</w:t>
            </w:r>
          </w:p>
        </w:tc>
        <w:tc>
          <w:tcPr>
            <w:tcW w:w="1418" w:type="dxa"/>
            <w:vAlign w:val="center"/>
          </w:tcPr>
          <w:p w:rsidR="00927569" w:rsidRPr="00494574" w:rsidRDefault="00927569" w:rsidP="00494574">
            <w:pPr>
              <w:spacing w:after="0" w:line="240" w:lineRule="auto"/>
              <w:jc w:val="right"/>
              <w:rPr>
                <w:b/>
                <w:sz w:val="20"/>
                <w:szCs w:val="20"/>
              </w:rPr>
            </w:pPr>
            <w:r w:rsidRPr="00494574">
              <w:rPr>
                <w:b/>
                <w:sz w:val="20"/>
                <w:szCs w:val="20"/>
              </w:rPr>
              <w:t>2.704.000,00</w:t>
            </w:r>
          </w:p>
        </w:tc>
        <w:tc>
          <w:tcPr>
            <w:tcW w:w="1276" w:type="dxa"/>
            <w:vAlign w:val="center"/>
          </w:tcPr>
          <w:p w:rsidR="00927569" w:rsidRPr="00494574" w:rsidRDefault="00927569" w:rsidP="00494574">
            <w:pPr>
              <w:spacing w:after="0" w:line="240" w:lineRule="auto"/>
              <w:jc w:val="right"/>
              <w:rPr>
                <w:b/>
                <w:sz w:val="20"/>
                <w:szCs w:val="20"/>
              </w:rPr>
            </w:pPr>
            <w:r w:rsidRPr="00494574">
              <w:rPr>
                <w:b/>
                <w:sz w:val="20"/>
                <w:szCs w:val="20"/>
              </w:rPr>
              <w:t>100,000%</w:t>
            </w:r>
          </w:p>
        </w:tc>
      </w:tr>
    </w:tbl>
    <w:p w:rsidR="00927569" w:rsidRDefault="00927569" w:rsidP="00AA3EFE">
      <w:pPr>
        <w:autoSpaceDE w:val="0"/>
        <w:autoSpaceDN w:val="0"/>
        <w:adjustRightInd w:val="0"/>
        <w:spacing w:after="0" w:line="288" w:lineRule="auto"/>
        <w:jc w:val="both"/>
        <w:rPr>
          <w:b/>
        </w:rPr>
      </w:pPr>
    </w:p>
    <w:p w:rsidR="00927569" w:rsidRPr="00B637D2" w:rsidRDefault="00927569" w:rsidP="00AA3EFE">
      <w:pPr>
        <w:autoSpaceDE w:val="0"/>
        <w:autoSpaceDN w:val="0"/>
        <w:adjustRightInd w:val="0"/>
        <w:spacing w:after="0" w:line="288" w:lineRule="auto"/>
        <w:jc w:val="both"/>
        <w:rPr>
          <w:b/>
        </w:rPr>
      </w:pPr>
    </w:p>
    <w:p w:rsidR="00927569" w:rsidRPr="00D30A91" w:rsidRDefault="00927569" w:rsidP="00AA3EFE">
      <w:pPr>
        <w:autoSpaceDE w:val="0"/>
        <w:autoSpaceDN w:val="0"/>
        <w:adjustRightInd w:val="0"/>
        <w:spacing w:after="0" w:line="288" w:lineRule="auto"/>
        <w:jc w:val="both"/>
        <w:rPr>
          <w:b/>
        </w:rPr>
      </w:pPr>
      <w:r>
        <w:rPr>
          <w:b/>
        </w:rPr>
        <w:t>PRESO ATTO</w:t>
      </w:r>
      <w:r w:rsidRPr="00714EC8">
        <w:t xml:space="preserve"> che</w:t>
      </w:r>
      <w:r>
        <w:t>:</w:t>
      </w:r>
    </w:p>
    <w:p w:rsidR="00927569" w:rsidRPr="00144167" w:rsidRDefault="00927569" w:rsidP="00AA3EFE">
      <w:pPr>
        <w:pStyle w:val="ListParagraph"/>
        <w:numPr>
          <w:ilvl w:val="0"/>
          <w:numId w:val="11"/>
        </w:numPr>
        <w:autoSpaceDE w:val="0"/>
        <w:autoSpaceDN w:val="0"/>
        <w:adjustRightInd w:val="0"/>
        <w:spacing w:after="0" w:line="288" w:lineRule="auto"/>
        <w:ind w:left="426" w:hanging="357"/>
        <w:jc w:val="both"/>
      </w:pPr>
      <w:r w:rsidRPr="00144167">
        <w:t>l’Assemblea d</w:t>
      </w:r>
      <w:r>
        <w:t>ell’Autorità ha approvato, con d</w:t>
      </w:r>
      <w:r w:rsidRPr="00144167">
        <w:t>eliberazione n. 5 del 16.04.2014, un cronoprogramma che prevedeva il perfezionamento dei conferimenti</w:t>
      </w:r>
      <w:r>
        <w:t xml:space="preserve"> dei comuni entro il </w:t>
      </w:r>
      <w:r w:rsidRPr="00144167">
        <w:t>31.07.2014;</w:t>
      </w:r>
    </w:p>
    <w:p w:rsidR="00927569" w:rsidRPr="00241689" w:rsidRDefault="00927569" w:rsidP="00241689">
      <w:pPr>
        <w:pStyle w:val="ListParagraph"/>
        <w:numPr>
          <w:ilvl w:val="0"/>
          <w:numId w:val="11"/>
        </w:numPr>
        <w:autoSpaceDE w:val="0"/>
        <w:autoSpaceDN w:val="0"/>
        <w:adjustRightInd w:val="0"/>
        <w:spacing w:after="0" w:line="288" w:lineRule="auto"/>
        <w:ind w:left="426"/>
        <w:jc w:val="both"/>
      </w:pPr>
      <w:r>
        <w:t xml:space="preserve">a tal fine </w:t>
      </w:r>
      <w:r w:rsidRPr="00144167">
        <w:t>Mazars S.p.A. ha redatto</w:t>
      </w:r>
      <w:r>
        <w:t xml:space="preserve"> la</w:t>
      </w:r>
      <w:r w:rsidRPr="00144167">
        <w:t xml:space="preserve"> stima degli </w:t>
      </w:r>
      <w:r w:rsidRPr="00144167">
        <w:rPr>
          <w:i/>
        </w:rPr>
        <w:t>assets</w:t>
      </w:r>
      <w:r>
        <w:rPr>
          <w:i/>
        </w:rPr>
        <w:t xml:space="preserve"> </w:t>
      </w:r>
      <w:r>
        <w:t>dei comuni con riferimento al 01.02</w:t>
      </w:r>
      <w:r w:rsidRPr="00144167">
        <w:t>.2014 val</w:t>
      </w:r>
      <w:r>
        <w:t xml:space="preserve">utando, fra gli altri, il capitale economico di </w:t>
      </w:r>
      <w:r w:rsidRPr="00241689">
        <w:t>Geofor S.p.A</w:t>
      </w:r>
      <w:r>
        <w:t>.;</w:t>
      </w:r>
    </w:p>
    <w:p w:rsidR="00927569" w:rsidRPr="00144167" w:rsidRDefault="00927569" w:rsidP="00AA3EFE">
      <w:pPr>
        <w:pStyle w:val="ListParagraph"/>
        <w:numPr>
          <w:ilvl w:val="0"/>
          <w:numId w:val="11"/>
        </w:numPr>
        <w:autoSpaceDE w:val="0"/>
        <w:autoSpaceDN w:val="0"/>
        <w:adjustRightInd w:val="0"/>
        <w:spacing w:after="0" w:line="288" w:lineRule="auto"/>
        <w:ind w:left="426" w:hanging="357"/>
        <w:jc w:val="both"/>
      </w:pPr>
      <w:r w:rsidRPr="00144167">
        <w:t xml:space="preserve">per </w:t>
      </w:r>
      <w:r>
        <w:t>impossibilità sopravvenuta, i c</w:t>
      </w:r>
      <w:r w:rsidRPr="00144167">
        <w:t>omuni</w:t>
      </w:r>
      <w:r>
        <w:t xml:space="preserve"> dell’ATO</w:t>
      </w:r>
      <w:r w:rsidRPr="00144167">
        <w:t xml:space="preserve"> non hanno </w:t>
      </w:r>
      <w:r>
        <w:t>effettuato</w:t>
      </w:r>
      <w:r w:rsidRPr="00144167">
        <w:t xml:space="preserve"> i conferimenti </w:t>
      </w:r>
      <w:r>
        <w:t xml:space="preserve">degli </w:t>
      </w:r>
      <w:r w:rsidRPr="00144167">
        <w:rPr>
          <w:i/>
        </w:rPr>
        <w:t xml:space="preserve">assets </w:t>
      </w:r>
      <w:r w:rsidRPr="00144167">
        <w:t>in RetiAmbiente S.p.A. entro la data stabilita</w:t>
      </w:r>
      <w:r>
        <w:t xml:space="preserve">; l’Autorità ha quindi provveduto a far </w:t>
      </w:r>
      <w:r w:rsidRPr="00144167">
        <w:t>aggiorna</w:t>
      </w:r>
      <w:r>
        <w:t xml:space="preserve">re </w:t>
      </w:r>
      <w:r w:rsidRPr="00144167">
        <w:t>le valutazioni effettuate da Mazars S.p.A.;</w:t>
      </w:r>
    </w:p>
    <w:p w:rsidR="00927569" w:rsidRPr="00144167" w:rsidRDefault="00927569" w:rsidP="00AA3EFE">
      <w:pPr>
        <w:pStyle w:val="ListParagraph"/>
        <w:numPr>
          <w:ilvl w:val="0"/>
          <w:numId w:val="11"/>
        </w:numPr>
        <w:autoSpaceDE w:val="0"/>
        <w:autoSpaceDN w:val="0"/>
        <w:adjustRightInd w:val="0"/>
        <w:spacing w:after="0" w:line="288" w:lineRule="auto"/>
        <w:ind w:left="426" w:hanging="357"/>
        <w:jc w:val="both"/>
      </w:pPr>
      <w:r w:rsidRPr="00144167">
        <w:t>l’Assemblea dell’Autorità, con deliberazione n. 3 del 30.04.2015</w:t>
      </w:r>
      <w:r>
        <w:t>,</w:t>
      </w:r>
      <w:r w:rsidRPr="00144167">
        <w:t xml:space="preserve"> ha approvato un nuovo cronoprogramma per i conferimenti, fissando la data per il loro perfezionamento al 30.12.2015, anche in considerazione del fatto che le relazioni di stima hanno per lo più ad oggetto quote o azioni delle società pubbliche partecipate</w:t>
      </w:r>
      <w:r>
        <w:t xml:space="preserve"> dai comuni</w:t>
      </w:r>
      <w:r w:rsidRPr="00144167">
        <w:t xml:space="preserve"> e che dette stime sono state effettuate sulla base di una situazione patrimoniale di tali società aggiornata al 30.06.2015;</w:t>
      </w:r>
    </w:p>
    <w:p w:rsidR="00927569" w:rsidRPr="00144167" w:rsidRDefault="00927569" w:rsidP="00AA3EFE">
      <w:pPr>
        <w:pStyle w:val="ListParagraph"/>
        <w:numPr>
          <w:ilvl w:val="0"/>
          <w:numId w:val="11"/>
        </w:numPr>
        <w:autoSpaceDE w:val="0"/>
        <w:autoSpaceDN w:val="0"/>
        <w:adjustRightInd w:val="0"/>
        <w:spacing w:after="0" w:line="288" w:lineRule="auto"/>
        <w:ind w:left="426" w:hanging="357"/>
        <w:jc w:val="both"/>
      </w:pPr>
      <w:r>
        <w:t>l’Autorità, con la d</w:t>
      </w:r>
      <w:r w:rsidRPr="00144167">
        <w:t>eliberazione n. 3 del 30.04.2015</w:t>
      </w:r>
      <w:r>
        <w:t>, ha</w:t>
      </w:r>
      <w:r w:rsidRPr="00144167">
        <w:t xml:space="preserve"> precisa</w:t>
      </w:r>
      <w:r>
        <w:t>to</w:t>
      </w:r>
      <w:r w:rsidRPr="00144167">
        <w:t xml:space="preserve"> che</w:t>
      </w:r>
      <w:r>
        <w:t>,</w:t>
      </w:r>
      <w:r w:rsidRPr="00144167">
        <w:t xml:space="preserve"> per il conferimento</w:t>
      </w:r>
      <w:r>
        <w:t xml:space="preserve"> in RetiAmbiente S.p.A.</w:t>
      </w:r>
      <w:r w:rsidRPr="00144167">
        <w:t xml:space="preserve"> di partecipazioni societarie</w:t>
      </w:r>
      <w:r>
        <w:t>,</w:t>
      </w:r>
      <w:r w:rsidRPr="00144167">
        <w:t xml:space="preserve"> dovranno rispettarsi i seguenti requisiti:</w:t>
      </w:r>
    </w:p>
    <w:p w:rsidR="00927569" w:rsidRPr="00144167" w:rsidRDefault="00927569" w:rsidP="00AA3EFE">
      <w:pPr>
        <w:numPr>
          <w:ilvl w:val="0"/>
          <w:numId w:val="22"/>
        </w:numPr>
        <w:spacing w:after="0" w:line="288" w:lineRule="auto"/>
        <w:jc w:val="both"/>
      </w:pPr>
      <w:r w:rsidRPr="00144167">
        <w:t>il conferimento dovrà riguardare esclusivamente azioni o quote;</w:t>
      </w:r>
    </w:p>
    <w:p w:rsidR="00927569" w:rsidRPr="00144167" w:rsidRDefault="00927569" w:rsidP="00AA3EFE">
      <w:pPr>
        <w:numPr>
          <w:ilvl w:val="0"/>
          <w:numId w:val="22"/>
        </w:numPr>
        <w:spacing w:after="0" w:line="288" w:lineRule="auto"/>
        <w:jc w:val="both"/>
      </w:pPr>
      <w:r w:rsidRPr="00144167">
        <w:t>le azioni o quote sono conferibili solo se la società ha la forma giuridica di S.r.l. o</w:t>
      </w:r>
      <w:r>
        <w:t xml:space="preserve"> di</w:t>
      </w:r>
      <w:r w:rsidRPr="00144167">
        <w:t xml:space="preserve"> S.p.A.;</w:t>
      </w:r>
    </w:p>
    <w:p w:rsidR="00927569" w:rsidRPr="00144167" w:rsidRDefault="00927569" w:rsidP="00AA3EFE">
      <w:pPr>
        <w:numPr>
          <w:ilvl w:val="0"/>
          <w:numId w:val="22"/>
        </w:numPr>
        <w:spacing w:after="0" w:line="288" w:lineRule="auto"/>
        <w:jc w:val="both"/>
      </w:pPr>
      <w:r w:rsidRPr="00144167">
        <w:t>le azioni o quote sono c</w:t>
      </w:r>
      <w:r>
        <w:t>onferibili solo se il 100% delle p</w:t>
      </w:r>
      <w:r w:rsidRPr="00144167">
        <w:t xml:space="preserve">artecipazioni </w:t>
      </w:r>
      <w:r>
        <w:t>sono nella titolarità dei c</w:t>
      </w:r>
      <w:r w:rsidRPr="00144167">
        <w:t>omuni conferenti (</w:t>
      </w:r>
      <w:r>
        <w:t xml:space="preserve">ossia se </w:t>
      </w:r>
      <w:r w:rsidRPr="00144167">
        <w:t>è stata liquidata la componente privata e la partecipazione è interamente pubblica);</w:t>
      </w:r>
    </w:p>
    <w:p w:rsidR="00927569" w:rsidRPr="00144167" w:rsidRDefault="00927569" w:rsidP="00AA3EFE">
      <w:pPr>
        <w:numPr>
          <w:ilvl w:val="0"/>
          <w:numId w:val="22"/>
        </w:numPr>
        <w:spacing w:after="0" w:line="288" w:lineRule="auto"/>
        <w:jc w:val="both"/>
      </w:pPr>
      <w:r w:rsidRPr="00144167">
        <w:t>le società partecipate non devono esercitare altra attività aziendale che non sia costituita dalla gestione dei rifiuti urbani e non sia ricompresa nell'oggetto sociale di RetiAmbiente S.p.A.;</w:t>
      </w:r>
    </w:p>
    <w:p w:rsidR="00927569" w:rsidRPr="00144167" w:rsidRDefault="00927569" w:rsidP="00AA3EFE">
      <w:pPr>
        <w:pStyle w:val="BodyText"/>
        <w:numPr>
          <w:ilvl w:val="0"/>
          <w:numId w:val="23"/>
        </w:numPr>
        <w:spacing w:line="288" w:lineRule="auto"/>
        <w:ind w:left="426"/>
        <w:rPr>
          <w:rFonts w:ascii="Calibri" w:hAnsi="Calibri"/>
          <w:sz w:val="22"/>
          <w:szCs w:val="22"/>
        </w:rPr>
      </w:pPr>
      <w:r w:rsidRPr="00144167">
        <w:rPr>
          <w:rFonts w:ascii="Calibri" w:hAnsi="Calibri"/>
          <w:sz w:val="22"/>
          <w:szCs w:val="22"/>
        </w:rPr>
        <w:t>l</w:t>
      </w:r>
      <w:r>
        <w:rPr>
          <w:rFonts w:ascii="Calibri" w:hAnsi="Calibri"/>
          <w:sz w:val="22"/>
          <w:szCs w:val="22"/>
        </w:rPr>
        <w:t>’Autorità, in attuazione della d</w:t>
      </w:r>
      <w:r w:rsidRPr="00144167">
        <w:rPr>
          <w:rFonts w:ascii="Calibri" w:hAnsi="Calibri"/>
          <w:sz w:val="22"/>
          <w:szCs w:val="22"/>
        </w:rPr>
        <w:t>eliberazione n. 3 del 30.04.2015, nell’ambito del rapporto contrattuale con Mazars S.p.A. (</w:t>
      </w:r>
      <w:r>
        <w:rPr>
          <w:rFonts w:ascii="Calibri" w:hAnsi="Calibri"/>
          <w:sz w:val="22"/>
          <w:szCs w:val="22"/>
        </w:rPr>
        <w:t xml:space="preserve">dal 23.07.2015, </w:t>
      </w:r>
      <w:r w:rsidRPr="00144167">
        <w:rPr>
          <w:rFonts w:ascii="Calibri" w:hAnsi="Calibri"/>
          <w:sz w:val="22"/>
          <w:szCs w:val="22"/>
        </w:rPr>
        <w:t xml:space="preserve">B.D.O. Italia S.p.A.) ha fissato </w:t>
      </w:r>
      <w:r>
        <w:rPr>
          <w:rFonts w:ascii="Calibri" w:hAnsi="Calibri"/>
          <w:sz w:val="22"/>
          <w:szCs w:val="22"/>
        </w:rPr>
        <w:t>i</w:t>
      </w:r>
      <w:r w:rsidRPr="00144167">
        <w:rPr>
          <w:rFonts w:ascii="Calibri" w:hAnsi="Calibri"/>
          <w:sz w:val="22"/>
          <w:szCs w:val="22"/>
        </w:rPr>
        <w:t xml:space="preserve">l 06.11.2015 </w:t>
      </w:r>
      <w:r>
        <w:rPr>
          <w:rFonts w:ascii="Calibri" w:hAnsi="Calibri"/>
          <w:sz w:val="22"/>
          <w:szCs w:val="22"/>
        </w:rPr>
        <w:t xml:space="preserve">quale </w:t>
      </w:r>
      <w:r w:rsidRPr="00144167">
        <w:rPr>
          <w:rFonts w:ascii="Calibri" w:hAnsi="Calibri"/>
          <w:sz w:val="22"/>
          <w:szCs w:val="22"/>
        </w:rPr>
        <w:t>termine ultimo per la conseg</w:t>
      </w:r>
      <w:r>
        <w:rPr>
          <w:rFonts w:ascii="Calibri" w:hAnsi="Calibri"/>
          <w:sz w:val="22"/>
          <w:szCs w:val="22"/>
        </w:rPr>
        <w:t>na delle relazioni di stima ai c</w:t>
      </w:r>
      <w:r w:rsidRPr="00144167">
        <w:rPr>
          <w:rFonts w:ascii="Calibri" w:hAnsi="Calibri"/>
          <w:sz w:val="22"/>
          <w:szCs w:val="22"/>
        </w:rPr>
        <w:t>omuni proprietari dei beni oggetto di valutazione;</w:t>
      </w:r>
    </w:p>
    <w:p w:rsidR="00927569" w:rsidRDefault="00927569" w:rsidP="00AA3EFE">
      <w:pPr>
        <w:pStyle w:val="BodyText"/>
        <w:numPr>
          <w:ilvl w:val="0"/>
          <w:numId w:val="25"/>
        </w:numPr>
        <w:spacing w:line="288" w:lineRule="auto"/>
        <w:ind w:left="426"/>
        <w:rPr>
          <w:rFonts w:ascii="Calibri" w:hAnsi="Calibri"/>
          <w:sz w:val="22"/>
          <w:szCs w:val="22"/>
        </w:rPr>
      </w:pPr>
      <w:r>
        <w:rPr>
          <w:rFonts w:ascii="Calibri" w:hAnsi="Calibri"/>
          <w:sz w:val="22"/>
          <w:szCs w:val="22"/>
        </w:rPr>
        <w:t>in data 06/11/2015</w:t>
      </w:r>
      <w:r w:rsidRPr="00144167">
        <w:rPr>
          <w:rFonts w:ascii="Calibri" w:hAnsi="Calibri"/>
          <w:sz w:val="22"/>
          <w:szCs w:val="22"/>
        </w:rPr>
        <w:t xml:space="preserve">, </w:t>
      </w:r>
      <w:r>
        <w:rPr>
          <w:rFonts w:ascii="Calibri" w:hAnsi="Calibri"/>
          <w:sz w:val="22"/>
          <w:szCs w:val="22"/>
        </w:rPr>
        <w:t xml:space="preserve">con </w:t>
      </w:r>
      <w:r w:rsidRPr="00144167">
        <w:rPr>
          <w:rFonts w:ascii="Calibri" w:hAnsi="Calibri"/>
          <w:sz w:val="22"/>
          <w:szCs w:val="22"/>
        </w:rPr>
        <w:t xml:space="preserve">nota </w:t>
      </w:r>
      <w:r w:rsidRPr="00A06A57">
        <w:rPr>
          <w:rFonts w:ascii="Calibri" w:hAnsi="Calibri"/>
          <w:sz w:val="22"/>
          <w:szCs w:val="22"/>
        </w:rPr>
        <w:t>Ns. Prot. 18410</w:t>
      </w:r>
      <w:r>
        <w:rPr>
          <w:rFonts w:ascii="Calibri" w:hAnsi="Calibri"/>
          <w:sz w:val="22"/>
          <w:szCs w:val="22"/>
        </w:rPr>
        <w:t xml:space="preserve"> (</w:t>
      </w:r>
      <w:r w:rsidRPr="00A06A57">
        <w:rPr>
          <w:rFonts w:ascii="Calibri" w:hAnsi="Calibri"/>
          <w:b/>
          <w:sz w:val="22"/>
          <w:szCs w:val="22"/>
        </w:rPr>
        <w:t>allegato “A”,</w:t>
      </w:r>
      <w:r>
        <w:rPr>
          <w:rFonts w:ascii="Calibri" w:hAnsi="Calibri"/>
          <w:sz w:val="22"/>
          <w:szCs w:val="22"/>
        </w:rPr>
        <w:t xml:space="preserve"> parte integrante e sostanziale della presente deliberazione), la </w:t>
      </w:r>
      <w:r w:rsidRPr="00D30A91">
        <w:rPr>
          <w:rFonts w:ascii="Calibri" w:hAnsi="Calibri"/>
          <w:sz w:val="22"/>
          <w:szCs w:val="22"/>
        </w:rPr>
        <w:t>B</w:t>
      </w:r>
      <w:r>
        <w:rPr>
          <w:rFonts w:ascii="Calibri" w:hAnsi="Calibri"/>
          <w:sz w:val="22"/>
          <w:szCs w:val="22"/>
        </w:rPr>
        <w:t>.</w:t>
      </w:r>
      <w:r w:rsidRPr="00D30A91">
        <w:rPr>
          <w:rFonts w:ascii="Calibri" w:hAnsi="Calibri"/>
          <w:sz w:val="22"/>
          <w:szCs w:val="22"/>
        </w:rPr>
        <w:t>D</w:t>
      </w:r>
      <w:r>
        <w:rPr>
          <w:rFonts w:ascii="Calibri" w:hAnsi="Calibri"/>
          <w:sz w:val="22"/>
          <w:szCs w:val="22"/>
        </w:rPr>
        <w:t>.</w:t>
      </w:r>
      <w:r w:rsidRPr="00D30A91">
        <w:rPr>
          <w:rFonts w:ascii="Calibri" w:hAnsi="Calibri"/>
          <w:sz w:val="22"/>
          <w:szCs w:val="22"/>
        </w:rPr>
        <w:t>O</w:t>
      </w:r>
      <w:r>
        <w:rPr>
          <w:rFonts w:ascii="Calibri" w:hAnsi="Calibri"/>
          <w:sz w:val="22"/>
          <w:szCs w:val="22"/>
        </w:rPr>
        <w:t>.</w:t>
      </w:r>
      <w:r w:rsidRPr="00D30A91">
        <w:rPr>
          <w:rFonts w:ascii="Calibri" w:hAnsi="Calibri"/>
          <w:sz w:val="22"/>
          <w:szCs w:val="22"/>
        </w:rPr>
        <w:t xml:space="preserve"> Italia S.p.A.</w:t>
      </w:r>
      <w:r>
        <w:rPr>
          <w:rFonts w:ascii="Calibri" w:hAnsi="Calibri"/>
          <w:sz w:val="22"/>
          <w:szCs w:val="22"/>
        </w:rPr>
        <w:t xml:space="preserve"> ha trasmesso a questo Comune la relazione</w:t>
      </w:r>
      <w:r w:rsidRPr="00D30A91">
        <w:rPr>
          <w:rFonts w:ascii="Calibri" w:hAnsi="Calibri"/>
          <w:sz w:val="22"/>
          <w:szCs w:val="22"/>
        </w:rPr>
        <w:t xml:space="preserve"> di stima </w:t>
      </w:r>
      <w:r>
        <w:rPr>
          <w:rFonts w:ascii="Calibri" w:hAnsi="Calibri"/>
          <w:sz w:val="22"/>
          <w:szCs w:val="22"/>
        </w:rPr>
        <w:t xml:space="preserve">aggiornata </w:t>
      </w:r>
      <w:r w:rsidRPr="00D30A91">
        <w:rPr>
          <w:rFonts w:ascii="Calibri" w:hAnsi="Calibri"/>
          <w:sz w:val="22"/>
          <w:szCs w:val="22"/>
        </w:rPr>
        <w:t xml:space="preserve">della </w:t>
      </w:r>
      <w:r>
        <w:rPr>
          <w:rFonts w:ascii="Calibri" w:hAnsi="Calibri"/>
          <w:sz w:val="22"/>
          <w:szCs w:val="22"/>
        </w:rPr>
        <w:t>Geofor S.p.A.;</w:t>
      </w:r>
    </w:p>
    <w:p w:rsidR="00927569" w:rsidRDefault="00927569" w:rsidP="00AA3EFE">
      <w:pPr>
        <w:pStyle w:val="BodyText"/>
        <w:spacing w:line="288" w:lineRule="auto"/>
        <w:rPr>
          <w:rFonts w:ascii="Calibri" w:hAnsi="Calibri"/>
          <w:sz w:val="22"/>
          <w:szCs w:val="22"/>
        </w:rPr>
      </w:pPr>
    </w:p>
    <w:p w:rsidR="00927569" w:rsidRPr="00D56EF8" w:rsidRDefault="00927569" w:rsidP="00AA3EFE">
      <w:pPr>
        <w:pStyle w:val="BodyText"/>
        <w:spacing w:line="288" w:lineRule="auto"/>
        <w:rPr>
          <w:rFonts w:ascii="Calibri" w:hAnsi="Calibri"/>
          <w:sz w:val="22"/>
          <w:szCs w:val="22"/>
        </w:rPr>
      </w:pPr>
      <w:r w:rsidRPr="00F366BB">
        <w:rPr>
          <w:rFonts w:ascii="Calibri" w:hAnsi="Calibri"/>
          <w:b/>
          <w:sz w:val="22"/>
          <w:szCs w:val="22"/>
        </w:rPr>
        <w:t xml:space="preserve">RISCONTRATO </w:t>
      </w:r>
      <w:r w:rsidRPr="00D56EF8">
        <w:rPr>
          <w:rFonts w:ascii="Calibri" w:hAnsi="Calibri"/>
          <w:sz w:val="22"/>
          <w:szCs w:val="22"/>
        </w:rPr>
        <w:t>che</w:t>
      </w:r>
      <w:r>
        <w:rPr>
          <w:rFonts w:ascii="Calibri" w:hAnsi="Calibri"/>
          <w:sz w:val="22"/>
          <w:szCs w:val="22"/>
        </w:rPr>
        <w:t>:</w:t>
      </w:r>
    </w:p>
    <w:p w:rsidR="00927569" w:rsidRDefault="00927569" w:rsidP="00AA3EFE">
      <w:pPr>
        <w:pStyle w:val="BodyText"/>
        <w:numPr>
          <w:ilvl w:val="0"/>
          <w:numId w:val="6"/>
        </w:numPr>
        <w:spacing w:line="288" w:lineRule="auto"/>
        <w:ind w:left="426"/>
        <w:rPr>
          <w:rFonts w:ascii="Calibri" w:hAnsi="Calibri"/>
          <w:color w:val="000000"/>
          <w:sz w:val="22"/>
          <w:szCs w:val="22"/>
        </w:rPr>
      </w:pPr>
      <w:r w:rsidRPr="00B7500C">
        <w:rPr>
          <w:rFonts w:ascii="Calibri" w:hAnsi="Calibri"/>
          <w:color w:val="000000"/>
          <w:sz w:val="22"/>
          <w:szCs w:val="22"/>
        </w:rPr>
        <w:t>Geofor S.p.A. non ha</w:t>
      </w:r>
      <w:r>
        <w:rPr>
          <w:rFonts w:ascii="Calibri" w:hAnsi="Calibri"/>
          <w:color w:val="000000"/>
          <w:sz w:val="22"/>
          <w:szCs w:val="22"/>
        </w:rPr>
        <w:t xml:space="preserve"> attualmente</w:t>
      </w:r>
      <w:r w:rsidRPr="00B7500C">
        <w:rPr>
          <w:rFonts w:ascii="Calibri" w:hAnsi="Calibri"/>
          <w:color w:val="000000"/>
          <w:sz w:val="22"/>
          <w:szCs w:val="22"/>
        </w:rPr>
        <w:t xml:space="preserve"> il requisito della partecipazione intera</w:t>
      </w:r>
      <w:r>
        <w:rPr>
          <w:rFonts w:ascii="Calibri" w:hAnsi="Calibri"/>
          <w:color w:val="000000"/>
          <w:sz w:val="22"/>
          <w:szCs w:val="22"/>
        </w:rPr>
        <w:t>mente pubblica richiesto dalla d</w:t>
      </w:r>
      <w:r w:rsidRPr="00B7500C">
        <w:rPr>
          <w:rFonts w:ascii="Calibri" w:hAnsi="Calibri"/>
          <w:color w:val="000000"/>
          <w:sz w:val="22"/>
          <w:szCs w:val="22"/>
        </w:rPr>
        <w:t>elibera</w:t>
      </w:r>
      <w:r>
        <w:rPr>
          <w:rFonts w:ascii="Calibri" w:hAnsi="Calibri"/>
          <w:color w:val="000000"/>
          <w:sz w:val="22"/>
          <w:szCs w:val="22"/>
        </w:rPr>
        <w:t>zione</w:t>
      </w:r>
      <w:r w:rsidRPr="00B7500C">
        <w:rPr>
          <w:rFonts w:ascii="Calibri" w:hAnsi="Calibri"/>
          <w:color w:val="000000"/>
          <w:sz w:val="22"/>
          <w:szCs w:val="22"/>
        </w:rPr>
        <w:t xml:space="preserve"> n. 3 del 30.04.2015 dell’Autorità ed è quindi </w:t>
      </w:r>
      <w:r>
        <w:rPr>
          <w:rFonts w:ascii="Calibri" w:hAnsi="Calibri"/>
          <w:color w:val="000000"/>
          <w:sz w:val="22"/>
          <w:szCs w:val="22"/>
        </w:rPr>
        <w:t xml:space="preserve">necessario che sia provveduto alla liquidazione dei soci privati, </w:t>
      </w:r>
      <w:r w:rsidRPr="00B7500C">
        <w:rPr>
          <w:rFonts w:ascii="Calibri" w:hAnsi="Calibri"/>
          <w:color w:val="000000"/>
          <w:sz w:val="22"/>
          <w:szCs w:val="22"/>
        </w:rPr>
        <w:t>consistente nel 40% dell’intero capitale sociale;</w:t>
      </w:r>
    </w:p>
    <w:p w:rsidR="00927569" w:rsidRDefault="00927569" w:rsidP="00241689">
      <w:pPr>
        <w:pStyle w:val="BodyText"/>
        <w:numPr>
          <w:ilvl w:val="0"/>
          <w:numId w:val="6"/>
        </w:numPr>
        <w:spacing w:line="288" w:lineRule="auto"/>
        <w:ind w:left="426"/>
        <w:rPr>
          <w:rFonts w:ascii="Calibri" w:hAnsi="Calibri"/>
          <w:color w:val="000000"/>
          <w:sz w:val="22"/>
          <w:szCs w:val="22"/>
        </w:rPr>
      </w:pPr>
      <w:r>
        <w:rPr>
          <w:rFonts w:ascii="Calibri" w:hAnsi="Calibri"/>
          <w:color w:val="000000"/>
          <w:sz w:val="22"/>
          <w:szCs w:val="22"/>
        </w:rPr>
        <w:t>occorre altresì modificare lo statuto sociale di Geofor S.p.A. come riportato da</w:t>
      </w:r>
      <w:r w:rsidRPr="00241689">
        <w:rPr>
          <w:rFonts w:ascii="Calibri" w:hAnsi="Calibri"/>
          <w:color w:val="000000"/>
          <w:sz w:val="22"/>
          <w:szCs w:val="22"/>
        </w:rPr>
        <w:t>ll’</w:t>
      </w:r>
      <w:r w:rsidRPr="00241689">
        <w:rPr>
          <w:rFonts w:ascii="Calibri" w:hAnsi="Calibri"/>
          <w:b/>
          <w:color w:val="000000"/>
          <w:sz w:val="22"/>
          <w:szCs w:val="22"/>
        </w:rPr>
        <w:t>allegato “</w:t>
      </w:r>
      <w:r>
        <w:rPr>
          <w:rFonts w:ascii="Calibri" w:hAnsi="Calibri"/>
          <w:b/>
          <w:color w:val="000000"/>
          <w:sz w:val="22"/>
          <w:szCs w:val="22"/>
        </w:rPr>
        <w:t>B</w:t>
      </w:r>
      <w:r w:rsidRPr="00241689">
        <w:rPr>
          <w:rFonts w:ascii="Calibri" w:hAnsi="Calibri"/>
          <w:b/>
          <w:color w:val="000000"/>
          <w:sz w:val="22"/>
          <w:szCs w:val="22"/>
        </w:rPr>
        <w:t>”</w:t>
      </w:r>
      <w:r>
        <w:rPr>
          <w:rFonts w:ascii="Calibri" w:hAnsi="Calibri"/>
          <w:color w:val="000000"/>
          <w:sz w:val="22"/>
          <w:szCs w:val="22"/>
        </w:rPr>
        <w:t>, parte integrante e sostanziale;</w:t>
      </w:r>
    </w:p>
    <w:p w:rsidR="00927569" w:rsidRDefault="00927569" w:rsidP="00AA3EFE">
      <w:pPr>
        <w:pStyle w:val="BodyText"/>
        <w:spacing w:line="288" w:lineRule="auto"/>
        <w:rPr>
          <w:rFonts w:ascii="Calibri" w:hAnsi="Calibri"/>
          <w:b/>
          <w:sz w:val="22"/>
          <w:szCs w:val="22"/>
        </w:rPr>
      </w:pPr>
    </w:p>
    <w:p w:rsidR="00927569" w:rsidRDefault="00927569" w:rsidP="00AA3EFE">
      <w:pPr>
        <w:pStyle w:val="BodyText"/>
        <w:spacing w:line="288" w:lineRule="auto"/>
        <w:rPr>
          <w:rFonts w:ascii="Calibri" w:hAnsi="Calibri"/>
          <w:sz w:val="22"/>
          <w:szCs w:val="22"/>
        </w:rPr>
      </w:pPr>
      <w:r w:rsidRPr="00C960C0">
        <w:rPr>
          <w:rFonts w:ascii="Calibri" w:hAnsi="Calibri"/>
          <w:b/>
          <w:sz w:val="22"/>
          <w:szCs w:val="22"/>
        </w:rPr>
        <w:t>ATTESO</w:t>
      </w:r>
      <w:r>
        <w:rPr>
          <w:rFonts w:ascii="Calibri" w:hAnsi="Calibri"/>
          <w:sz w:val="22"/>
          <w:szCs w:val="22"/>
        </w:rPr>
        <w:t xml:space="preserve"> che l’assemblea di Geofor tenutasi nel giorno 07.12.2015 ha individuato quale modalità di uscita del socio privato dalla compagine societaria, l’acquisto da parte di Geofor Spa, delle azioni di categoria B attualmente detenute dal socio privato;</w:t>
      </w:r>
    </w:p>
    <w:p w:rsidR="00927569" w:rsidRDefault="00927569" w:rsidP="00AA3EFE">
      <w:pPr>
        <w:pStyle w:val="BodyText"/>
        <w:spacing w:line="288" w:lineRule="auto"/>
        <w:rPr>
          <w:rFonts w:ascii="Calibri" w:hAnsi="Calibri"/>
          <w:b/>
          <w:sz w:val="22"/>
          <w:szCs w:val="22"/>
        </w:rPr>
      </w:pPr>
    </w:p>
    <w:p w:rsidR="00927569" w:rsidRPr="00D56EF8" w:rsidRDefault="00927569" w:rsidP="00AA3EFE">
      <w:pPr>
        <w:pStyle w:val="BodyText"/>
        <w:spacing w:line="288" w:lineRule="auto"/>
        <w:rPr>
          <w:rFonts w:ascii="Calibri" w:hAnsi="Calibri"/>
          <w:sz w:val="22"/>
          <w:szCs w:val="22"/>
        </w:rPr>
      </w:pPr>
      <w:r w:rsidRPr="00F366BB">
        <w:rPr>
          <w:rFonts w:ascii="Calibri" w:hAnsi="Calibri"/>
          <w:b/>
          <w:sz w:val="22"/>
          <w:szCs w:val="22"/>
        </w:rPr>
        <w:t xml:space="preserve">CONSIDERATO </w:t>
      </w:r>
      <w:r w:rsidRPr="00D56EF8">
        <w:rPr>
          <w:rFonts w:ascii="Calibri" w:hAnsi="Calibri"/>
          <w:sz w:val="22"/>
          <w:szCs w:val="22"/>
        </w:rPr>
        <w:t>che:</w:t>
      </w:r>
    </w:p>
    <w:p w:rsidR="00927569" w:rsidRDefault="00927569" w:rsidP="00AA3EFE">
      <w:pPr>
        <w:pStyle w:val="BodyText"/>
        <w:numPr>
          <w:ilvl w:val="0"/>
          <w:numId w:val="25"/>
        </w:numPr>
        <w:spacing w:line="288" w:lineRule="auto"/>
        <w:ind w:left="426"/>
        <w:rPr>
          <w:rFonts w:ascii="Calibri" w:hAnsi="Calibri"/>
          <w:sz w:val="22"/>
          <w:szCs w:val="22"/>
        </w:rPr>
      </w:pPr>
      <w:r>
        <w:rPr>
          <w:rFonts w:ascii="Calibri" w:hAnsi="Calibri"/>
          <w:sz w:val="22"/>
          <w:szCs w:val="22"/>
        </w:rPr>
        <w:t>g</w:t>
      </w:r>
      <w:r w:rsidRPr="005548F4">
        <w:rPr>
          <w:rFonts w:ascii="Calibri" w:hAnsi="Calibri"/>
          <w:sz w:val="22"/>
          <w:szCs w:val="22"/>
        </w:rPr>
        <w:t xml:space="preserve">li </w:t>
      </w:r>
      <w:r w:rsidRPr="005548F4">
        <w:rPr>
          <w:rFonts w:ascii="Calibri" w:hAnsi="Calibri"/>
          <w:i/>
          <w:sz w:val="22"/>
          <w:szCs w:val="22"/>
        </w:rPr>
        <w:t>assets</w:t>
      </w:r>
      <w:r w:rsidRPr="005548F4">
        <w:rPr>
          <w:rFonts w:ascii="Calibri" w:hAnsi="Calibri"/>
          <w:sz w:val="22"/>
          <w:szCs w:val="22"/>
        </w:rPr>
        <w:t xml:space="preserve"> del Comune di </w:t>
      </w:r>
      <w:r w:rsidRPr="00A06A57">
        <w:rPr>
          <w:rFonts w:ascii="Calibri" w:hAnsi="Calibri"/>
          <w:sz w:val="22"/>
          <w:szCs w:val="22"/>
        </w:rPr>
        <w:t xml:space="preserve">Ponsacco </w:t>
      </w:r>
      <w:r w:rsidRPr="005548F4">
        <w:rPr>
          <w:rFonts w:ascii="Calibri" w:hAnsi="Calibri"/>
          <w:sz w:val="22"/>
          <w:szCs w:val="22"/>
        </w:rPr>
        <w:t>valutati da B</w:t>
      </w:r>
      <w:r>
        <w:rPr>
          <w:rFonts w:ascii="Calibri" w:hAnsi="Calibri"/>
          <w:sz w:val="22"/>
          <w:szCs w:val="22"/>
        </w:rPr>
        <w:t>.</w:t>
      </w:r>
      <w:r w:rsidRPr="005548F4">
        <w:rPr>
          <w:rFonts w:ascii="Calibri" w:hAnsi="Calibri"/>
          <w:sz w:val="22"/>
          <w:szCs w:val="22"/>
        </w:rPr>
        <w:t>D</w:t>
      </w:r>
      <w:r>
        <w:rPr>
          <w:rFonts w:ascii="Calibri" w:hAnsi="Calibri"/>
          <w:sz w:val="22"/>
          <w:szCs w:val="22"/>
        </w:rPr>
        <w:t>.</w:t>
      </w:r>
      <w:r w:rsidRPr="005548F4">
        <w:rPr>
          <w:rFonts w:ascii="Calibri" w:hAnsi="Calibri"/>
          <w:sz w:val="22"/>
          <w:szCs w:val="22"/>
        </w:rPr>
        <w:t>O</w:t>
      </w:r>
      <w:r>
        <w:rPr>
          <w:rFonts w:ascii="Calibri" w:hAnsi="Calibri"/>
          <w:sz w:val="22"/>
          <w:szCs w:val="22"/>
        </w:rPr>
        <w:t>.</w:t>
      </w:r>
      <w:r w:rsidRPr="005548F4">
        <w:rPr>
          <w:rFonts w:ascii="Calibri" w:hAnsi="Calibri"/>
          <w:sz w:val="22"/>
          <w:szCs w:val="22"/>
        </w:rPr>
        <w:t xml:space="preserve"> Italia </w:t>
      </w:r>
      <w:r>
        <w:rPr>
          <w:rFonts w:ascii="Calibri" w:hAnsi="Calibri"/>
          <w:sz w:val="22"/>
          <w:szCs w:val="22"/>
        </w:rPr>
        <w:t>S.p.A.</w:t>
      </w:r>
      <w:r w:rsidRPr="005548F4">
        <w:rPr>
          <w:rFonts w:ascii="Calibri" w:hAnsi="Calibri"/>
          <w:sz w:val="22"/>
          <w:szCs w:val="22"/>
        </w:rPr>
        <w:t xml:space="preserve"> rappresentano quanto lo stesso Comune attualmente intende conferire in RetiAmbiente </w:t>
      </w:r>
      <w:r>
        <w:rPr>
          <w:rFonts w:ascii="Calibri" w:hAnsi="Calibri"/>
          <w:sz w:val="22"/>
          <w:szCs w:val="22"/>
        </w:rPr>
        <w:t>S.p.A.;</w:t>
      </w:r>
    </w:p>
    <w:p w:rsidR="00927569" w:rsidRDefault="00927569" w:rsidP="00AA3EFE">
      <w:pPr>
        <w:pStyle w:val="BodyText"/>
        <w:numPr>
          <w:ilvl w:val="0"/>
          <w:numId w:val="25"/>
        </w:numPr>
        <w:spacing w:line="288" w:lineRule="auto"/>
        <w:ind w:left="426"/>
        <w:rPr>
          <w:rFonts w:ascii="Calibri" w:hAnsi="Calibri"/>
          <w:sz w:val="22"/>
          <w:szCs w:val="22"/>
        </w:rPr>
      </w:pPr>
      <w:r>
        <w:rPr>
          <w:rFonts w:ascii="Calibri" w:hAnsi="Calibri"/>
          <w:sz w:val="22"/>
          <w:szCs w:val="22"/>
        </w:rPr>
        <w:t>d</w:t>
      </w:r>
      <w:r w:rsidRPr="005548F4">
        <w:rPr>
          <w:rFonts w:ascii="Calibri" w:hAnsi="Calibri"/>
          <w:sz w:val="22"/>
          <w:szCs w:val="22"/>
        </w:rPr>
        <w:t xml:space="preserve">ette valutazioni si riferiscono </w:t>
      </w:r>
      <w:r>
        <w:rPr>
          <w:rFonts w:ascii="Calibri" w:hAnsi="Calibri"/>
          <w:sz w:val="22"/>
          <w:szCs w:val="22"/>
        </w:rPr>
        <w:t>alla data del 30.06.2015 e, ai sensi dell’art. 2343-</w:t>
      </w:r>
      <w:r w:rsidRPr="00D56EF8">
        <w:rPr>
          <w:rFonts w:ascii="Calibri" w:hAnsi="Calibri"/>
          <w:sz w:val="22"/>
          <w:szCs w:val="22"/>
        </w:rPr>
        <w:t>ter</w:t>
      </w:r>
      <w:r w:rsidRPr="005548F4">
        <w:rPr>
          <w:rFonts w:ascii="Calibri" w:hAnsi="Calibri"/>
          <w:sz w:val="22"/>
          <w:szCs w:val="22"/>
        </w:rPr>
        <w:t>, comma 2, lett. b)</w:t>
      </w:r>
      <w:r>
        <w:rPr>
          <w:rFonts w:ascii="Calibri" w:hAnsi="Calibri"/>
          <w:sz w:val="22"/>
          <w:szCs w:val="22"/>
        </w:rPr>
        <w:t>, del Codice Civile</w:t>
      </w:r>
      <w:r w:rsidRPr="005548F4">
        <w:rPr>
          <w:rFonts w:ascii="Calibri" w:hAnsi="Calibri"/>
          <w:sz w:val="22"/>
          <w:szCs w:val="22"/>
        </w:rPr>
        <w:t xml:space="preserve">, possono essere validamente utilizzate ove il conferimento avvenga entro i successivi </w:t>
      </w:r>
      <w:r>
        <w:rPr>
          <w:rFonts w:ascii="Calibri" w:hAnsi="Calibri"/>
          <w:sz w:val="22"/>
          <w:szCs w:val="22"/>
        </w:rPr>
        <w:t xml:space="preserve">sei </w:t>
      </w:r>
      <w:r w:rsidRPr="005548F4">
        <w:rPr>
          <w:rFonts w:ascii="Calibri" w:hAnsi="Calibri"/>
          <w:sz w:val="22"/>
          <w:szCs w:val="22"/>
        </w:rPr>
        <w:t>mesi dalla data cui la valutazione si riferisce</w:t>
      </w:r>
      <w:r>
        <w:rPr>
          <w:rFonts w:ascii="Calibri" w:hAnsi="Calibri"/>
          <w:sz w:val="22"/>
          <w:szCs w:val="22"/>
        </w:rPr>
        <w:t>;</w:t>
      </w:r>
    </w:p>
    <w:p w:rsidR="00927569" w:rsidRPr="009F3F49" w:rsidRDefault="00927569" w:rsidP="00B81FAA">
      <w:pPr>
        <w:pStyle w:val="BodyText"/>
        <w:numPr>
          <w:ilvl w:val="0"/>
          <w:numId w:val="25"/>
        </w:numPr>
        <w:spacing w:line="288" w:lineRule="auto"/>
        <w:ind w:left="426"/>
        <w:rPr>
          <w:rFonts w:ascii="Calibri" w:hAnsi="Calibri"/>
          <w:color w:val="FF0000"/>
          <w:sz w:val="22"/>
          <w:szCs w:val="22"/>
        </w:rPr>
      </w:pPr>
      <w:r>
        <w:rPr>
          <w:rFonts w:ascii="Calibri" w:hAnsi="Calibri"/>
          <w:sz w:val="22"/>
          <w:szCs w:val="22"/>
        </w:rPr>
        <w:t>i</w:t>
      </w:r>
      <w:r w:rsidRPr="005548F4">
        <w:rPr>
          <w:rFonts w:ascii="Calibri" w:hAnsi="Calibri"/>
          <w:sz w:val="22"/>
          <w:szCs w:val="22"/>
        </w:rPr>
        <w:t>n base alle valutazioni di B</w:t>
      </w:r>
      <w:r>
        <w:rPr>
          <w:rFonts w:ascii="Calibri" w:hAnsi="Calibri"/>
          <w:sz w:val="22"/>
          <w:szCs w:val="22"/>
        </w:rPr>
        <w:t>.</w:t>
      </w:r>
      <w:r w:rsidRPr="005548F4">
        <w:rPr>
          <w:rFonts w:ascii="Calibri" w:hAnsi="Calibri"/>
          <w:sz w:val="22"/>
          <w:szCs w:val="22"/>
        </w:rPr>
        <w:t>D</w:t>
      </w:r>
      <w:r>
        <w:rPr>
          <w:rFonts w:ascii="Calibri" w:hAnsi="Calibri"/>
          <w:sz w:val="22"/>
          <w:szCs w:val="22"/>
        </w:rPr>
        <w:t>.</w:t>
      </w:r>
      <w:r w:rsidRPr="005548F4">
        <w:rPr>
          <w:rFonts w:ascii="Calibri" w:hAnsi="Calibri"/>
          <w:sz w:val="22"/>
          <w:szCs w:val="22"/>
        </w:rPr>
        <w:t>O</w:t>
      </w:r>
      <w:r>
        <w:rPr>
          <w:rFonts w:ascii="Calibri" w:hAnsi="Calibri"/>
          <w:sz w:val="22"/>
          <w:szCs w:val="22"/>
        </w:rPr>
        <w:t>.</w:t>
      </w:r>
      <w:r w:rsidRPr="005548F4">
        <w:rPr>
          <w:rFonts w:ascii="Calibri" w:hAnsi="Calibri"/>
          <w:sz w:val="22"/>
          <w:szCs w:val="22"/>
        </w:rPr>
        <w:t xml:space="preserve"> Italia </w:t>
      </w:r>
      <w:r>
        <w:rPr>
          <w:rFonts w:ascii="Calibri" w:hAnsi="Calibri"/>
          <w:sz w:val="22"/>
          <w:szCs w:val="22"/>
        </w:rPr>
        <w:t>S.p.A.</w:t>
      </w:r>
      <w:r w:rsidRPr="005548F4">
        <w:rPr>
          <w:rFonts w:ascii="Calibri" w:hAnsi="Calibri"/>
          <w:sz w:val="22"/>
          <w:szCs w:val="22"/>
        </w:rPr>
        <w:t xml:space="preserve"> il valore </w:t>
      </w:r>
      <w:r>
        <w:rPr>
          <w:rFonts w:ascii="Calibri" w:hAnsi="Calibri"/>
          <w:sz w:val="22"/>
          <w:szCs w:val="22"/>
        </w:rPr>
        <w:t xml:space="preserve">economico </w:t>
      </w:r>
      <w:r w:rsidRPr="005548F4">
        <w:rPr>
          <w:rFonts w:ascii="Calibri" w:hAnsi="Calibri"/>
          <w:sz w:val="22"/>
          <w:szCs w:val="22"/>
        </w:rPr>
        <w:t xml:space="preserve">degli </w:t>
      </w:r>
      <w:r w:rsidRPr="005548F4">
        <w:rPr>
          <w:rFonts w:ascii="Calibri" w:hAnsi="Calibri"/>
          <w:i/>
          <w:sz w:val="22"/>
          <w:szCs w:val="22"/>
        </w:rPr>
        <w:t>assets</w:t>
      </w:r>
      <w:r w:rsidRPr="005548F4">
        <w:rPr>
          <w:rFonts w:ascii="Calibri" w:hAnsi="Calibri"/>
          <w:sz w:val="22"/>
          <w:szCs w:val="22"/>
        </w:rPr>
        <w:t xml:space="preserve"> che il Comune di </w:t>
      </w:r>
      <w:r w:rsidRPr="00A06A57">
        <w:rPr>
          <w:rFonts w:ascii="Calibri" w:hAnsi="Calibri"/>
          <w:sz w:val="22"/>
          <w:szCs w:val="22"/>
        </w:rPr>
        <w:t>Ponsacco</w:t>
      </w:r>
      <w:r>
        <w:t xml:space="preserve"> </w:t>
      </w:r>
      <w:r>
        <w:rPr>
          <w:rFonts w:ascii="Calibri" w:hAnsi="Calibri"/>
          <w:sz w:val="22"/>
          <w:szCs w:val="22"/>
        </w:rPr>
        <w:t>intende</w:t>
      </w:r>
      <w:r w:rsidRPr="005548F4">
        <w:rPr>
          <w:rFonts w:ascii="Calibri" w:hAnsi="Calibri"/>
          <w:sz w:val="22"/>
          <w:szCs w:val="22"/>
        </w:rPr>
        <w:t xml:space="preserve"> conferire in RetiAmbiente S.p.A. </w:t>
      </w:r>
      <w:r w:rsidRPr="00844DDD">
        <w:rPr>
          <w:rFonts w:ascii="Calibri" w:hAnsi="Calibri"/>
          <w:sz w:val="22"/>
          <w:szCs w:val="22"/>
        </w:rPr>
        <w:t>ammonta complessivamente ad € 6.565,67 ed è costituito dalla partecipazione in Geofor S.p.A. per n. 2.430 azioni del valore nominale complessivo di € 1.263,60;</w:t>
      </w:r>
    </w:p>
    <w:p w:rsidR="00927569" w:rsidRDefault="00927569" w:rsidP="00611B98">
      <w:pPr>
        <w:pStyle w:val="BodyText"/>
        <w:numPr>
          <w:ilvl w:val="0"/>
          <w:numId w:val="25"/>
        </w:numPr>
        <w:spacing w:line="288" w:lineRule="auto"/>
        <w:ind w:left="426"/>
        <w:rPr>
          <w:rFonts w:ascii="Calibri" w:hAnsi="Calibri"/>
          <w:sz w:val="22"/>
          <w:szCs w:val="22"/>
        </w:rPr>
      </w:pPr>
      <w:r>
        <w:rPr>
          <w:rFonts w:ascii="Calibri" w:hAnsi="Calibri"/>
          <w:sz w:val="22"/>
          <w:szCs w:val="22"/>
        </w:rPr>
        <w:t>una volta che i c</w:t>
      </w:r>
      <w:r w:rsidRPr="001B6467">
        <w:rPr>
          <w:rFonts w:ascii="Calibri" w:hAnsi="Calibri"/>
          <w:sz w:val="22"/>
          <w:szCs w:val="22"/>
        </w:rPr>
        <w:t>omuni avranno effettuato i loro conf</w:t>
      </w:r>
      <w:r>
        <w:rPr>
          <w:rFonts w:ascii="Calibri" w:hAnsi="Calibri"/>
          <w:sz w:val="22"/>
          <w:szCs w:val="22"/>
        </w:rPr>
        <w:t>erimenti in RetiAmbiente S.p.A.</w:t>
      </w:r>
      <w:r w:rsidRPr="001B6467">
        <w:rPr>
          <w:rFonts w:ascii="Calibri" w:hAnsi="Calibri"/>
          <w:sz w:val="22"/>
          <w:szCs w:val="22"/>
        </w:rPr>
        <w:t>,</w:t>
      </w:r>
      <w:r>
        <w:rPr>
          <w:rFonts w:ascii="Calibri" w:hAnsi="Calibri"/>
          <w:sz w:val="22"/>
          <w:szCs w:val="22"/>
        </w:rPr>
        <w:t xml:space="preserve"> Geofor S.p.A. </w:t>
      </w:r>
      <w:r w:rsidRPr="001B6467">
        <w:rPr>
          <w:rFonts w:ascii="Calibri" w:hAnsi="Calibri"/>
          <w:sz w:val="22"/>
          <w:szCs w:val="22"/>
        </w:rPr>
        <w:t>risulter</w:t>
      </w:r>
      <w:r>
        <w:rPr>
          <w:rFonts w:ascii="Calibri" w:hAnsi="Calibri"/>
          <w:sz w:val="22"/>
          <w:szCs w:val="22"/>
        </w:rPr>
        <w:t>à partecipata</w:t>
      </w:r>
      <w:r w:rsidRPr="001B6467">
        <w:rPr>
          <w:rFonts w:ascii="Calibri" w:hAnsi="Calibri"/>
          <w:sz w:val="22"/>
          <w:szCs w:val="22"/>
        </w:rPr>
        <w:t xml:space="preserve"> dagli enti locali indirettamente, per mezzo di RetiAmbiente S.p.A.; </w:t>
      </w:r>
      <w:r>
        <w:rPr>
          <w:rFonts w:ascii="Calibri" w:hAnsi="Calibri"/>
          <w:sz w:val="22"/>
          <w:szCs w:val="22"/>
        </w:rPr>
        <w:t>tale situazione è da intendersi meramente transitoria nello svolgersi del complessivo processo di riordino societario in argomento;</w:t>
      </w:r>
    </w:p>
    <w:p w:rsidR="00927569" w:rsidRDefault="00927569" w:rsidP="00AA3EFE">
      <w:pPr>
        <w:pStyle w:val="BodyText"/>
        <w:numPr>
          <w:ilvl w:val="0"/>
          <w:numId w:val="25"/>
        </w:numPr>
        <w:spacing w:line="288" w:lineRule="auto"/>
        <w:ind w:left="426"/>
        <w:rPr>
          <w:rFonts w:ascii="Calibri" w:hAnsi="Calibri"/>
          <w:sz w:val="22"/>
          <w:szCs w:val="22"/>
        </w:rPr>
      </w:pPr>
      <w:r>
        <w:rPr>
          <w:rFonts w:ascii="Calibri" w:hAnsi="Calibri"/>
          <w:sz w:val="22"/>
          <w:szCs w:val="22"/>
        </w:rPr>
        <w:t>infatti, s</w:t>
      </w:r>
      <w:r w:rsidRPr="001B6467">
        <w:rPr>
          <w:rFonts w:ascii="Calibri" w:hAnsi="Calibri"/>
          <w:sz w:val="22"/>
          <w:szCs w:val="22"/>
        </w:rPr>
        <w:t>ulla base degli indirizzi approvati dall’Autorità</w:t>
      </w:r>
      <w:r>
        <w:rPr>
          <w:rFonts w:ascii="Calibri" w:hAnsi="Calibri"/>
          <w:sz w:val="22"/>
          <w:szCs w:val="22"/>
        </w:rPr>
        <w:t>, dopo i conferimenti dei comuni in RetiAmbiente S.p.A.,</w:t>
      </w:r>
      <w:r w:rsidRPr="001B6467">
        <w:rPr>
          <w:rFonts w:ascii="Calibri" w:hAnsi="Calibri"/>
          <w:sz w:val="22"/>
          <w:szCs w:val="22"/>
        </w:rPr>
        <w:t xml:space="preserve"> s</w:t>
      </w:r>
      <w:r>
        <w:rPr>
          <w:rFonts w:ascii="Calibri" w:hAnsi="Calibri"/>
          <w:sz w:val="22"/>
          <w:szCs w:val="22"/>
        </w:rPr>
        <w:t>arà celermente proceduto, entro i tempi tecnici strettamente necessari,</w:t>
      </w:r>
      <w:r w:rsidRPr="001B6467">
        <w:rPr>
          <w:rFonts w:ascii="Calibri" w:hAnsi="Calibri"/>
          <w:sz w:val="22"/>
          <w:szCs w:val="22"/>
        </w:rPr>
        <w:t xml:space="preserve"> ad una fusione per incorporazione in RetiAmbiente S.p.A. delle società </w:t>
      </w:r>
      <w:r>
        <w:rPr>
          <w:rFonts w:ascii="Calibri" w:hAnsi="Calibri"/>
          <w:sz w:val="22"/>
          <w:szCs w:val="22"/>
        </w:rPr>
        <w:t>pubbliche le cui quote o azioni hanno costituito oggetto del conferimento; tale soluzione è stata ritenuta quella tecnicamente più funzionale e conveniente ad attuare il trasferimento in capo a RetiAmbiente S.p.A. della gestione diretta del servizio integrato dei rifiuti;</w:t>
      </w:r>
    </w:p>
    <w:p w:rsidR="00927569" w:rsidRDefault="00927569" w:rsidP="00714EC8">
      <w:pPr>
        <w:spacing w:after="0" w:line="288" w:lineRule="auto"/>
        <w:ind w:left="66"/>
        <w:jc w:val="both"/>
      </w:pPr>
    </w:p>
    <w:p w:rsidR="00927569" w:rsidRDefault="00927569" w:rsidP="00714EC8">
      <w:pPr>
        <w:spacing w:after="0" w:line="288" w:lineRule="auto"/>
        <w:ind w:left="66"/>
        <w:jc w:val="both"/>
      </w:pPr>
      <w:r>
        <w:rPr>
          <w:b/>
        </w:rPr>
        <w:t xml:space="preserve">PRESO ATTO </w:t>
      </w:r>
      <w:r>
        <w:t>che:</w:t>
      </w:r>
    </w:p>
    <w:p w:rsidR="00927569" w:rsidRDefault="00927569" w:rsidP="00714EC8">
      <w:pPr>
        <w:pStyle w:val="ListParagraph"/>
        <w:numPr>
          <w:ilvl w:val="0"/>
          <w:numId w:val="11"/>
        </w:numPr>
        <w:spacing w:after="0" w:line="288" w:lineRule="auto"/>
        <w:jc w:val="both"/>
      </w:pPr>
      <w:r>
        <w:t xml:space="preserve">il Comune di Ponsacco è </w:t>
      </w:r>
      <w:r w:rsidRPr="00D30A91">
        <w:t xml:space="preserve">socio di RetiAmbiente S.p.A. </w:t>
      </w:r>
      <w:r>
        <w:t xml:space="preserve">avendo </w:t>
      </w:r>
      <w:r w:rsidRPr="00D30A91">
        <w:t xml:space="preserve">sottoscritto n. </w:t>
      </w:r>
      <w:r>
        <w:t>1.116</w:t>
      </w:r>
      <w:r w:rsidRPr="00D30A91">
        <w:t xml:space="preserve"> azioni del valore nominale di € 1,00 ciascuna che rappresenta</w:t>
      </w:r>
      <w:r>
        <w:t>no 0,93</w:t>
      </w:r>
      <w:r w:rsidRPr="00D30A91">
        <w:t>% del capitale</w:t>
      </w:r>
      <w:r>
        <w:t xml:space="preserve"> sociale</w:t>
      </w:r>
      <w:r w:rsidRPr="00D30A91">
        <w:t>;</w:t>
      </w:r>
    </w:p>
    <w:p w:rsidR="00927569" w:rsidRDefault="00927569" w:rsidP="00914BCF">
      <w:pPr>
        <w:pStyle w:val="ListParagraph"/>
        <w:numPr>
          <w:ilvl w:val="0"/>
          <w:numId w:val="11"/>
        </w:numPr>
        <w:spacing w:after="0" w:line="288" w:lineRule="auto"/>
        <w:ind w:left="714" w:hanging="357"/>
        <w:jc w:val="both"/>
      </w:pPr>
      <w:r w:rsidRPr="00714EC8">
        <w:t>ai sensi dell’art. 3, c</w:t>
      </w:r>
      <w:r>
        <w:t>omma</w:t>
      </w:r>
      <w:r w:rsidRPr="00714EC8">
        <w:t xml:space="preserve"> 27, della L. 244/2007 la partecipazione in RetiAmbiente S.p.A. può essere </w:t>
      </w:r>
      <w:r>
        <w:t>detenuta in quanto destinata alla gestione di</w:t>
      </w:r>
      <w:r w:rsidRPr="00714EC8">
        <w:t xml:space="preserve"> un servizio pubblico </w:t>
      </w:r>
      <w:r>
        <w:t xml:space="preserve">locale </w:t>
      </w:r>
      <w:r w:rsidRPr="00714EC8">
        <w:t>di rilevanza economica;</w:t>
      </w:r>
    </w:p>
    <w:p w:rsidR="00927569" w:rsidRPr="006829E8" w:rsidRDefault="00927569" w:rsidP="00914BCF">
      <w:pPr>
        <w:pStyle w:val="ListParagraph"/>
        <w:numPr>
          <w:ilvl w:val="0"/>
          <w:numId w:val="11"/>
        </w:numPr>
        <w:spacing w:after="0" w:line="288" w:lineRule="auto"/>
        <w:ind w:left="714" w:hanging="357"/>
        <w:jc w:val="both"/>
      </w:pPr>
      <w:r w:rsidRPr="006829E8">
        <w:t>quanto previsto dall’art. 6, comma 19, del D.L. 78/2010 non osta all’assunzione di nuove partecipazioni in RetiAmbiente S.p.A.;</w:t>
      </w:r>
    </w:p>
    <w:p w:rsidR="00927569" w:rsidRPr="00D56EF8" w:rsidRDefault="00927569" w:rsidP="00914BCF">
      <w:pPr>
        <w:pStyle w:val="ListParagraph"/>
        <w:numPr>
          <w:ilvl w:val="0"/>
          <w:numId w:val="11"/>
        </w:numPr>
        <w:spacing w:after="0" w:line="288" w:lineRule="auto"/>
        <w:ind w:left="714" w:hanging="357"/>
        <w:jc w:val="both"/>
      </w:pPr>
      <w:r w:rsidRPr="00914BCF">
        <w:t xml:space="preserve">l’attuale Statuto di RetiAmbiente S.p.A. è stato approvato con Deliberazione del C.C. </w:t>
      </w:r>
      <w:r>
        <w:t>n. 58/2011</w:t>
      </w:r>
      <w:r w:rsidRPr="00914BCF">
        <w:t xml:space="preserve"> in precedenza richiamata;</w:t>
      </w:r>
    </w:p>
    <w:p w:rsidR="00927569" w:rsidRPr="00277354" w:rsidRDefault="00927569" w:rsidP="00277354">
      <w:pPr>
        <w:pStyle w:val="ListParagraph"/>
        <w:numPr>
          <w:ilvl w:val="0"/>
          <w:numId w:val="11"/>
        </w:numPr>
        <w:spacing w:after="0" w:line="288" w:lineRule="auto"/>
        <w:jc w:val="both"/>
      </w:pPr>
      <w:r>
        <w:t xml:space="preserve">si sono rese necessarie alcune modifiche statutarie, proposte dall’Autorità, </w:t>
      </w:r>
      <w:r w:rsidRPr="00D56EF8">
        <w:t>la quale ha provveduto a sottoporre ai concorrenti, nella fase di gara denominata“dialogo competitivo”, la bozza così modificata;</w:t>
      </w:r>
    </w:p>
    <w:p w:rsidR="00927569" w:rsidRPr="00277354" w:rsidRDefault="00927569" w:rsidP="00277354">
      <w:pPr>
        <w:pStyle w:val="ListParagraph"/>
        <w:numPr>
          <w:ilvl w:val="0"/>
          <w:numId w:val="11"/>
        </w:numPr>
        <w:spacing w:after="0" w:line="288" w:lineRule="auto"/>
        <w:jc w:val="both"/>
      </w:pPr>
      <w:r w:rsidRPr="00277354">
        <w:t>è previsto che in detta fase i concorrenti po</w:t>
      </w:r>
      <w:r>
        <w:t>ssano</w:t>
      </w:r>
      <w:r w:rsidRPr="00277354">
        <w:t xml:space="preserve"> formulare proposte di modifica a tale bozza e  l’Autorità valuterà tali r</w:t>
      </w:r>
      <w:r>
        <w:t>ichieste, proponendo o meno ai c</w:t>
      </w:r>
      <w:r w:rsidRPr="00277354">
        <w:t>omuni soci di accoglierle in tutto o in parte e sotto</w:t>
      </w:r>
      <w:r>
        <w:t>ponendo nuovamente ai predetti c</w:t>
      </w:r>
      <w:r w:rsidRPr="00277354">
        <w:t>omuni un testo de</w:t>
      </w:r>
      <w:r>
        <w:t>finitivo di statuto sociale;</w:t>
      </w:r>
      <w:r w:rsidRPr="00277354">
        <w:t xml:space="preserve"> ferma restando quindi la necessità di un’ulteriore esame della questione da parte di questo Consiglio, appare comunque opportuno, anche in ragione dell’unitarietà della presente deliberazione, procedere all’approvazione del testo </w:t>
      </w:r>
      <w:r>
        <w:t xml:space="preserve">di statuto </w:t>
      </w:r>
      <w:r w:rsidRPr="00277354">
        <w:t xml:space="preserve">come attualmente elaborato dall’Autorità, </w:t>
      </w:r>
      <w:r w:rsidRPr="00277354">
        <w:rPr>
          <w:b/>
        </w:rPr>
        <w:t>allegato “</w:t>
      </w:r>
      <w:r>
        <w:rPr>
          <w:b/>
        </w:rPr>
        <w:t>C</w:t>
      </w:r>
      <w:r w:rsidRPr="00277354">
        <w:rPr>
          <w:b/>
        </w:rPr>
        <w:t>”</w:t>
      </w:r>
      <w:r w:rsidRPr="00277354">
        <w:t>, parte integrante e sostanziale della presente deliberazione, in modo che lo stesso possa essere approvato dall’assemblea di RetiAmbiente S.p.A. di prossima convocazione;</w:t>
      </w:r>
    </w:p>
    <w:p w:rsidR="00927569" w:rsidRPr="00D30A91" w:rsidRDefault="00927569" w:rsidP="00AA3EFE">
      <w:pPr>
        <w:spacing w:after="0" w:line="288" w:lineRule="auto"/>
        <w:jc w:val="both"/>
      </w:pPr>
    </w:p>
    <w:p w:rsidR="00927569" w:rsidRPr="00D30A91" w:rsidRDefault="00927569" w:rsidP="00AA3EFE">
      <w:pPr>
        <w:spacing w:after="0" w:line="288" w:lineRule="auto"/>
        <w:jc w:val="both"/>
        <w:rPr>
          <w:b/>
        </w:rPr>
      </w:pPr>
      <w:r w:rsidRPr="00D30A91">
        <w:rPr>
          <w:b/>
        </w:rPr>
        <w:t>VISTO</w:t>
      </w:r>
      <w:r w:rsidRPr="00277354">
        <w:t>:</w:t>
      </w:r>
    </w:p>
    <w:p w:rsidR="00927569" w:rsidRPr="00D30A91" w:rsidRDefault="00927569" w:rsidP="00AA3EFE">
      <w:pPr>
        <w:pStyle w:val="ListParagraph"/>
        <w:numPr>
          <w:ilvl w:val="0"/>
          <w:numId w:val="26"/>
        </w:numPr>
        <w:spacing w:after="0" w:line="288" w:lineRule="auto"/>
        <w:ind w:left="426"/>
        <w:jc w:val="both"/>
      </w:pPr>
      <w:r w:rsidRPr="00D30A91">
        <w:t>l’art. 3, c</w:t>
      </w:r>
      <w:r>
        <w:t>omma</w:t>
      </w:r>
      <w:r w:rsidRPr="00D30A91">
        <w:t xml:space="preserve"> 27, della L. 244/2007 secondo cui “</w:t>
      </w:r>
      <w:r w:rsidRPr="00D30A91">
        <w:rPr>
          <w:i/>
        </w:rPr>
        <w:t>al fine di tutelare la concorrenza e il mercato, le amministrazioni di cui all’articolo 1, comma 2, del decreto legislativo 30 marzo 2001, n. 165, non possono costituire società aventi per oggetto attività di produzione di beni e di servizi non strettamente necessarie per il perseguimento delle proprie finalità istituzionali, né assumere o mantenere direttamente partecipazioni, anche di minoranza, in tali società. È sempre ammessa la costituzione di società che producono servizi di interesse generale (…) e l’assunzione di partecipazioni in tali società da parte delle amministrazioni di cui all’articolo 1, comma 2, del decreto legislativo 30 marzo 2001, n. 165, nell’ambito dei rispettivi livelli di competenza</w:t>
      </w:r>
      <w:r w:rsidRPr="00D30A91">
        <w:t>”;</w:t>
      </w:r>
    </w:p>
    <w:p w:rsidR="00927569" w:rsidRPr="00D30A91" w:rsidRDefault="00927569" w:rsidP="00AA3EFE">
      <w:pPr>
        <w:pStyle w:val="ListParagraph"/>
        <w:numPr>
          <w:ilvl w:val="0"/>
          <w:numId w:val="26"/>
        </w:numPr>
        <w:spacing w:after="0" w:line="288" w:lineRule="auto"/>
        <w:ind w:left="426"/>
        <w:jc w:val="both"/>
      </w:pPr>
      <w:r w:rsidRPr="00D30A91">
        <w:t>l’art. 113 del D.Lgs. 267/2000 (T.U.E.L.) afferente la “</w:t>
      </w:r>
      <w:r w:rsidRPr="00D30A91">
        <w:rPr>
          <w:i/>
        </w:rPr>
        <w:t>Gestione delle reti ed erogazione dei servizi pubblici locali di rilevanza economica</w:t>
      </w:r>
      <w:r w:rsidRPr="00D30A91">
        <w:t>”, in cui si stabilisce che “</w:t>
      </w:r>
      <w:r w:rsidRPr="00D30A91">
        <w:rPr>
          <w:i/>
        </w:rPr>
        <w:t>gli enti locali non possono cedere la proprietà degli impianti, delle reti e delle altre dotazioni destinati all'esercizio dei servizi pubblici</w:t>
      </w:r>
      <w:r w:rsidRPr="00D30A91">
        <w:t>”;</w:t>
      </w:r>
    </w:p>
    <w:p w:rsidR="00927569" w:rsidRPr="00D30A91" w:rsidRDefault="00927569" w:rsidP="00AA3EFE">
      <w:pPr>
        <w:pStyle w:val="ListParagraph"/>
        <w:numPr>
          <w:ilvl w:val="0"/>
          <w:numId w:val="26"/>
        </w:numPr>
        <w:spacing w:after="0" w:line="288" w:lineRule="auto"/>
        <w:ind w:left="426"/>
        <w:jc w:val="both"/>
      </w:pPr>
      <w:r w:rsidRPr="00D30A91">
        <w:t>l’art. 1, commi 611-614, della L. 190/2014 (legge di stabilità 2015), in materia di razionalizzazione delle società e delle partecipazioni societarie possedute da pubbliche amministrazioni, secondo cui, a decorrere dal 1 gennaio 2015, le pubbliche amministrazioni avviano un processo di razionalizzazione delle società partecipate finalizzato, fra l’altro, al contenimento dei costi di funzionamento;</w:t>
      </w:r>
    </w:p>
    <w:p w:rsidR="00927569" w:rsidRDefault="00927569" w:rsidP="00277354">
      <w:pPr>
        <w:spacing w:after="0" w:line="288" w:lineRule="auto"/>
        <w:ind w:left="66"/>
        <w:jc w:val="both"/>
      </w:pPr>
    </w:p>
    <w:p w:rsidR="00927569" w:rsidRPr="00277354" w:rsidRDefault="00927569" w:rsidP="00277354">
      <w:pPr>
        <w:spacing w:after="0" w:line="288" w:lineRule="auto"/>
        <w:ind w:left="66"/>
        <w:jc w:val="both"/>
      </w:pPr>
      <w:r w:rsidRPr="00277354">
        <w:rPr>
          <w:b/>
        </w:rPr>
        <w:t>PRESO ATTO</w:t>
      </w:r>
      <w:r>
        <w:t xml:space="preserve"> della nota del 07.12.2015, </w:t>
      </w:r>
      <w:r w:rsidRPr="00277354">
        <w:rPr>
          <w:b/>
        </w:rPr>
        <w:t>allegato “</w:t>
      </w:r>
      <w:r>
        <w:rPr>
          <w:b/>
        </w:rPr>
        <w:t>D</w:t>
      </w:r>
      <w:r w:rsidRPr="00277354">
        <w:rPr>
          <w:b/>
        </w:rPr>
        <w:t>”</w:t>
      </w:r>
      <w:r>
        <w:t xml:space="preserve">, parte integrante e sostanziale della presente deliberazione, con cui l’Autorità informa che entro la data del 28.12.2015 si terrà l’Assemblea straordinaria di RetiAmbiente S.p.A. che dovrà deliberare l’aumento del capitale sociale mediante conferimento degli </w:t>
      </w:r>
      <w:r w:rsidRPr="00277354">
        <w:rPr>
          <w:i/>
        </w:rPr>
        <w:t>assets</w:t>
      </w:r>
      <w:r>
        <w:t xml:space="preserve"> afferenti i rifiuti di tutti i comuni dell’ATO Toscana Costa</w:t>
      </w:r>
      <w:r w:rsidRPr="00277354">
        <w:t>;</w:t>
      </w:r>
    </w:p>
    <w:p w:rsidR="00927569" w:rsidRDefault="00927569" w:rsidP="00AA3EFE">
      <w:pPr>
        <w:spacing w:after="0" w:line="288" w:lineRule="auto"/>
        <w:jc w:val="both"/>
      </w:pPr>
    </w:p>
    <w:p w:rsidR="00927569" w:rsidRPr="00D30A91" w:rsidRDefault="00927569" w:rsidP="00AA3EFE">
      <w:pPr>
        <w:spacing w:after="0" w:line="288" w:lineRule="auto"/>
        <w:jc w:val="both"/>
      </w:pPr>
      <w:r w:rsidRPr="00D30A91">
        <w:rPr>
          <w:b/>
        </w:rPr>
        <w:t xml:space="preserve">VALUTATO </w:t>
      </w:r>
      <w:r w:rsidRPr="00D30A91">
        <w:t>che questo Comune, nel rispetto del percorso diretto alla costituzione di una società mista quale gestore unico del servizio rifiuti nell’ATO Toscana Costa, debba coerentemente aderire al</w:t>
      </w:r>
      <w:r>
        <w:t xml:space="preserve"> previsto </w:t>
      </w:r>
      <w:r w:rsidRPr="00D30A91">
        <w:t>aumento di capitale di RetiAm</w:t>
      </w:r>
      <w:r w:rsidRPr="00707562">
        <w:t>biente</w:t>
      </w:r>
      <w:r w:rsidRPr="00D30A91">
        <w:t xml:space="preserve"> S.p.A.</w:t>
      </w:r>
      <w:r>
        <w:t xml:space="preserve"> ed adottare ogni atto preliminare, connesso e conseguente;</w:t>
      </w:r>
    </w:p>
    <w:p w:rsidR="00927569" w:rsidRPr="00D30A91" w:rsidRDefault="00927569" w:rsidP="00AA3EFE">
      <w:pPr>
        <w:spacing w:after="0" w:line="288" w:lineRule="auto"/>
        <w:jc w:val="both"/>
        <w:rPr>
          <w:b/>
        </w:rPr>
      </w:pPr>
    </w:p>
    <w:p w:rsidR="00927569" w:rsidRDefault="00927569" w:rsidP="00707562">
      <w:pPr>
        <w:spacing w:after="0" w:line="288" w:lineRule="auto"/>
        <w:jc w:val="both"/>
      </w:pPr>
      <w:r w:rsidRPr="00D30A91">
        <w:rPr>
          <w:b/>
        </w:rPr>
        <w:t xml:space="preserve">RITENUTO </w:t>
      </w:r>
      <w:r>
        <w:t>quindi necessario:</w:t>
      </w:r>
    </w:p>
    <w:p w:rsidR="00927569" w:rsidRPr="00707562" w:rsidRDefault="00927569" w:rsidP="00707562">
      <w:pPr>
        <w:pStyle w:val="ListParagraph"/>
        <w:numPr>
          <w:ilvl w:val="0"/>
          <w:numId w:val="27"/>
        </w:numPr>
        <w:spacing w:after="0" w:line="288" w:lineRule="auto"/>
        <w:jc w:val="both"/>
      </w:pPr>
      <w:r w:rsidRPr="00707562">
        <w:t>che sia proceduto alla liquidazione dei soci privati di Geofor S.p.A.</w:t>
      </w:r>
      <w:r>
        <w:t xml:space="preserve"> in modo che la società sia partecipata dai soli comuni</w:t>
      </w:r>
      <w:r w:rsidRPr="00707562">
        <w:t>;</w:t>
      </w:r>
    </w:p>
    <w:p w:rsidR="00927569" w:rsidRPr="00844DDD" w:rsidRDefault="00927569" w:rsidP="00707562">
      <w:pPr>
        <w:pStyle w:val="ListParagraph"/>
        <w:numPr>
          <w:ilvl w:val="0"/>
          <w:numId w:val="27"/>
        </w:numPr>
        <w:spacing w:after="0" w:line="288" w:lineRule="auto"/>
        <w:jc w:val="both"/>
        <w:rPr>
          <w:b/>
        </w:rPr>
      </w:pPr>
      <w:r w:rsidRPr="00844DDD">
        <w:t>confer</w:t>
      </w:r>
      <w:bookmarkStart w:id="0" w:name="_GoBack"/>
      <w:bookmarkEnd w:id="0"/>
      <w:r w:rsidRPr="00844DDD">
        <w:t xml:space="preserve">ire in RetiAmbiente S.p.A. la partecipazione in </w:t>
      </w:r>
      <w:r w:rsidRPr="00844DDD">
        <w:rPr>
          <w:rFonts w:eastAsia="SimSun"/>
        </w:rPr>
        <w:t xml:space="preserve">Geofor S.p.A., costituita da n. </w:t>
      </w:r>
      <w:r w:rsidRPr="00844DDD">
        <w:t>2.430</w:t>
      </w:r>
      <w:r w:rsidRPr="00844DDD">
        <w:rPr>
          <w:rFonts w:eastAsia="SimSun"/>
        </w:rPr>
        <w:t xml:space="preserve"> azioni del valore nominale di € 0,52 ciascuna, per un valore nominale complessivo di € </w:t>
      </w:r>
      <w:r w:rsidRPr="00844DDD">
        <w:t xml:space="preserve">1.263,60 </w:t>
      </w:r>
      <w:r w:rsidRPr="00844DDD">
        <w:rPr>
          <w:rFonts w:eastAsia="SimSun"/>
        </w:rPr>
        <w:t>e per un valore economico,</w:t>
      </w:r>
      <w:r w:rsidRPr="00844DDD">
        <w:t xml:space="preserve">valutato da B.D.O. Italia S.p.A., </w:t>
      </w:r>
      <w:r w:rsidRPr="00844DDD">
        <w:rPr>
          <w:rFonts w:eastAsia="SimSun"/>
        </w:rPr>
        <w:t xml:space="preserve">pari ad </w:t>
      </w:r>
      <w:r w:rsidRPr="00844DDD">
        <w:t>€ 6.565,67;</w:t>
      </w:r>
    </w:p>
    <w:p w:rsidR="00927569" w:rsidRPr="00707562" w:rsidRDefault="00927569" w:rsidP="00707562">
      <w:pPr>
        <w:pStyle w:val="ListParagraph"/>
        <w:numPr>
          <w:ilvl w:val="0"/>
          <w:numId w:val="27"/>
        </w:numPr>
        <w:spacing w:after="0" w:line="288" w:lineRule="auto"/>
        <w:jc w:val="both"/>
        <w:rPr>
          <w:b/>
        </w:rPr>
      </w:pPr>
      <w:r>
        <w:rPr>
          <w:rFonts w:eastAsia="SimSun"/>
        </w:rPr>
        <w:t>approvar</w:t>
      </w:r>
      <w:r w:rsidRPr="00707562">
        <w:rPr>
          <w:rFonts w:eastAsia="SimSun"/>
        </w:rPr>
        <w:t xml:space="preserve">e le modifiche </w:t>
      </w:r>
      <w:r>
        <w:rPr>
          <w:rFonts w:eastAsia="SimSun"/>
        </w:rPr>
        <w:t xml:space="preserve">allo statuto di </w:t>
      </w:r>
      <w:r w:rsidRPr="00707562">
        <w:rPr>
          <w:rFonts w:eastAsia="SimSun"/>
        </w:rPr>
        <w:t xml:space="preserve">Geofor S.p.A. come da schema </w:t>
      </w:r>
      <w:r w:rsidRPr="00707562">
        <w:rPr>
          <w:rFonts w:eastAsia="SimSun"/>
          <w:b/>
        </w:rPr>
        <w:t>allegato “</w:t>
      </w:r>
      <w:r>
        <w:rPr>
          <w:rFonts w:eastAsia="SimSun"/>
          <w:b/>
        </w:rPr>
        <w:t>B</w:t>
      </w:r>
      <w:r w:rsidRPr="00707562">
        <w:rPr>
          <w:rFonts w:eastAsia="SimSun"/>
          <w:b/>
        </w:rPr>
        <w:t>”</w:t>
      </w:r>
      <w:r w:rsidRPr="00707562">
        <w:rPr>
          <w:rFonts w:eastAsia="SimSun"/>
        </w:rPr>
        <w:t>;</w:t>
      </w:r>
    </w:p>
    <w:p w:rsidR="00927569" w:rsidRPr="00707562" w:rsidRDefault="00927569" w:rsidP="00707562">
      <w:pPr>
        <w:pStyle w:val="ListParagraph"/>
        <w:numPr>
          <w:ilvl w:val="0"/>
          <w:numId w:val="27"/>
        </w:numPr>
        <w:spacing w:after="0" w:line="288" w:lineRule="auto"/>
        <w:jc w:val="both"/>
        <w:rPr>
          <w:b/>
        </w:rPr>
      </w:pPr>
      <w:r w:rsidRPr="00707562">
        <w:rPr>
          <w:rFonts w:eastAsia="SimSun"/>
        </w:rPr>
        <w:t>approva</w:t>
      </w:r>
      <w:r>
        <w:rPr>
          <w:rFonts w:eastAsia="SimSun"/>
        </w:rPr>
        <w:t>re</w:t>
      </w:r>
      <w:r w:rsidRPr="00707562">
        <w:rPr>
          <w:rFonts w:eastAsia="SimSun"/>
        </w:rPr>
        <w:t xml:space="preserve"> lo statuto di RetiAmbiente S.p.A. come da </w:t>
      </w:r>
      <w:r w:rsidRPr="00707562">
        <w:rPr>
          <w:rFonts w:eastAsia="SimSun"/>
          <w:b/>
        </w:rPr>
        <w:t>allegato “</w:t>
      </w:r>
      <w:r>
        <w:rPr>
          <w:rFonts w:eastAsia="SimSun"/>
          <w:b/>
        </w:rPr>
        <w:t>C</w:t>
      </w:r>
      <w:r w:rsidRPr="00707562">
        <w:rPr>
          <w:rFonts w:eastAsia="SimSun"/>
          <w:b/>
        </w:rPr>
        <w:t>”</w:t>
      </w:r>
      <w:r w:rsidRPr="00707562">
        <w:rPr>
          <w:rFonts w:eastAsia="SimSun"/>
        </w:rPr>
        <w:t>;</w:t>
      </w:r>
    </w:p>
    <w:p w:rsidR="00927569" w:rsidRPr="00D30A91" w:rsidRDefault="00927569" w:rsidP="00AA3EFE">
      <w:pPr>
        <w:pStyle w:val="ListParagraph"/>
        <w:spacing w:after="0" w:line="288" w:lineRule="auto"/>
        <w:ind w:left="567"/>
        <w:jc w:val="both"/>
        <w:rPr>
          <w:b/>
        </w:rPr>
      </w:pPr>
    </w:p>
    <w:p w:rsidR="00927569" w:rsidRPr="00E3670C" w:rsidRDefault="00927569" w:rsidP="00AA3EFE">
      <w:pPr>
        <w:autoSpaceDE w:val="0"/>
        <w:autoSpaceDN w:val="0"/>
        <w:adjustRightInd w:val="0"/>
        <w:spacing w:after="0" w:line="288" w:lineRule="auto"/>
        <w:jc w:val="both"/>
        <w:rPr>
          <w:spacing w:val="-5"/>
        </w:rPr>
      </w:pPr>
      <w:r w:rsidRPr="00E3670C">
        <w:rPr>
          <w:b/>
          <w:spacing w:val="-5"/>
        </w:rPr>
        <w:t>VISTO</w:t>
      </w:r>
      <w:r w:rsidRPr="00E3670C">
        <w:rPr>
          <w:spacing w:val="-5"/>
        </w:rPr>
        <w:t xml:space="preserve"> l’art. 42, comma 2, lett. e), del D.Lgs. 267/2000 secondo cui rientrano nella competenza dell’organo consiliare gli atti fondamentali in materia di partecipazione dell’ente locale a società di capitali;</w:t>
      </w:r>
    </w:p>
    <w:p w:rsidR="00927569" w:rsidRDefault="00927569" w:rsidP="00AA3EFE">
      <w:pPr>
        <w:autoSpaceDE w:val="0"/>
        <w:autoSpaceDN w:val="0"/>
        <w:adjustRightInd w:val="0"/>
        <w:spacing w:after="0" w:line="240" w:lineRule="auto"/>
        <w:jc w:val="both"/>
        <w:rPr>
          <w:b/>
          <w:spacing w:val="-5"/>
        </w:rPr>
      </w:pPr>
    </w:p>
    <w:p w:rsidR="00927569" w:rsidRDefault="00927569" w:rsidP="00AA3EFE">
      <w:pPr>
        <w:autoSpaceDE w:val="0"/>
        <w:autoSpaceDN w:val="0"/>
        <w:adjustRightInd w:val="0"/>
        <w:spacing w:after="0" w:line="240" w:lineRule="auto"/>
        <w:jc w:val="both"/>
        <w:rPr>
          <w:spacing w:val="-5"/>
        </w:rPr>
      </w:pPr>
      <w:r>
        <w:rPr>
          <w:b/>
          <w:spacing w:val="-5"/>
        </w:rPr>
        <w:t xml:space="preserve">SENTITA </w:t>
      </w:r>
      <w:r w:rsidRPr="00B5655F">
        <w:rPr>
          <w:spacing w:val="-5"/>
        </w:rPr>
        <w:t>in seduta congiunta la 1^ e 3^ Commissione Consiliare;</w:t>
      </w:r>
    </w:p>
    <w:p w:rsidR="00927569" w:rsidRPr="00B5655F" w:rsidRDefault="00927569" w:rsidP="00AA3EFE">
      <w:pPr>
        <w:autoSpaceDE w:val="0"/>
        <w:autoSpaceDN w:val="0"/>
        <w:adjustRightInd w:val="0"/>
        <w:spacing w:after="0" w:line="240" w:lineRule="auto"/>
        <w:jc w:val="both"/>
        <w:rPr>
          <w:spacing w:val="-5"/>
        </w:rPr>
      </w:pPr>
    </w:p>
    <w:p w:rsidR="00927569" w:rsidRPr="00B5655F" w:rsidRDefault="00927569" w:rsidP="00AA3EFE">
      <w:pPr>
        <w:autoSpaceDE w:val="0"/>
        <w:autoSpaceDN w:val="0"/>
        <w:adjustRightInd w:val="0"/>
        <w:spacing w:after="0" w:line="240" w:lineRule="auto"/>
        <w:jc w:val="both"/>
        <w:rPr>
          <w:b/>
          <w:spacing w:val="-5"/>
        </w:rPr>
      </w:pPr>
      <w:r w:rsidRPr="00B5655F">
        <w:rPr>
          <w:b/>
          <w:spacing w:val="-5"/>
        </w:rPr>
        <w:t>ACQUISITO</w:t>
      </w:r>
    </w:p>
    <w:p w:rsidR="00927569" w:rsidRPr="00844DDD" w:rsidRDefault="00927569" w:rsidP="00AA3EFE">
      <w:pPr>
        <w:numPr>
          <w:ilvl w:val="0"/>
          <w:numId w:val="29"/>
        </w:numPr>
        <w:autoSpaceDE w:val="0"/>
        <w:autoSpaceDN w:val="0"/>
        <w:adjustRightInd w:val="0"/>
        <w:spacing w:after="0" w:line="288" w:lineRule="auto"/>
        <w:ind w:left="426"/>
        <w:jc w:val="both"/>
        <w:rPr>
          <w:rFonts w:eastAsia="SimSun"/>
        </w:rPr>
      </w:pPr>
      <w:r w:rsidRPr="00844DDD">
        <w:rPr>
          <w:rFonts w:eastAsia="SimSun"/>
        </w:rPr>
        <w:t>l’allegato parere in ordine alla regolarità tecnica e contabile, espresso ai sensi dell’art. 49 del D.Lgs. 267/2000;</w:t>
      </w:r>
    </w:p>
    <w:p w:rsidR="00927569" w:rsidRDefault="00927569" w:rsidP="00B5655F">
      <w:pPr>
        <w:numPr>
          <w:ilvl w:val="0"/>
          <w:numId w:val="29"/>
        </w:numPr>
        <w:autoSpaceDE w:val="0"/>
        <w:autoSpaceDN w:val="0"/>
        <w:adjustRightInd w:val="0"/>
        <w:spacing w:after="0" w:line="288" w:lineRule="auto"/>
        <w:ind w:left="426"/>
        <w:jc w:val="both"/>
        <w:rPr>
          <w:rFonts w:eastAsia="SimSun"/>
        </w:rPr>
      </w:pPr>
      <w:r w:rsidRPr="00844DDD">
        <w:rPr>
          <w:rFonts w:eastAsia="SimSun"/>
        </w:rPr>
        <w:t xml:space="preserve">l’allegato parere </w:t>
      </w:r>
      <w:r w:rsidRPr="00844DDD">
        <w:t>del Collegio dei Revisori</w:t>
      </w:r>
      <w:r w:rsidRPr="00844DDD">
        <w:rPr>
          <w:rFonts w:eastAsia="SimSun"/>
        </w:rPr>
        <w:t>, espresso con riferimento a quanto previsto dall’art. 239, comma 1, lett. b), punto 3), del D.Lgs. 267/2000;</w:t>
      </w:r>
    </w:p>
    <w:p w:rsidR="00927569" w:rsidRPr="00CC7709" w:rsidRDefault="00927569" w:rsidP="00B5655F">
      <w:pPr>
        <w:autoSpaceDE w:val="0"/>
        <w:autoSpaceDN w:val="0"/>
        <w:adjustRightInd w:val="0"/>
        <w:spacing w:after="0" w:line="288" w:lineRule="auto"/>
        <w:ind w:left="66"/>
        <w:jc w:val="both"/>
        <w:rPr>
          <w:rFonts w:eastAsia="SimSun"/>
        </w:rPr>
      </w:pPr>
    </w:p>
    <w:p w:rsidR="00927569" w:rsidRPr="003A6B2C" w:rsidRDefault="00927569" w:rsidP="003A6B2C">
      <w:pPr>
        <w:jc w:val="both"/>
      </w:pPr>
      <w:r>
        <w:rPr>
          <w:b/>
        </w:rPr>
        <w:t xml:space="preserve">RILEVATA </w:t>
      </w:r>
      <w:r w:rsidRPr="003A6B2C">
        <w:t>l’urgenza di dichiarare la presente deliberazione immediatamente eseguibile stante la ristrettezza di tempi a disposizione per il compimento degli atti conseguenti;</w:t>
      </w:r>
    </w:p>
    <w:p w:rsidR="00927569" w:rsidRPr="00D30A91" w:rsidRDefault="00927569" w:rsidP="00AA3EFE">
      <w:pPr>
        <w:jc w:val="center"/>
        <w:rPr>
          <w:b/>
        </w:rPr>
      </w:pPr>
      <w:r w:rsidRPr="00D30A91">
        <w:rPr>
          <w:b/>
        </w:rPr>
        <w:t>DELIBERA</w:t>
      </w:r>
    </w:p>
    <w:p w:rsidR="00927569" w:rsidRPr="00BB30A8" w:rsidRDefault="00927569" w:rsidP="00914BCF">
      <w:pPr>
        <w:pStyle w:val="ListParagraph"/>
        <w:numPr>
          <w:ilvl w:val="0"/>
          <w:numId w:val="10"/>
        </w:numPr>
        <w:autoSpaceDE w:val="0"/>
        <w:autoSpaceDN w:val="0"/>
        <w:adjustRightInd w:val="0"/>
        <w:spacing w:after="0" w:line="288" w:lineRule="auto"/>
        <w:ind w:left="426" w:right="-57"/>
        <w:jc w:val="both"/>
      </w:pPr>
      <w:r w:rsidRPr="00B162C4">
        <w:t xml:space="preserve">di prendere atto </w:t>
      </w:r>
      <w:r>
        <w:t>ed approvare, quale atto di indirizzo politico-amministrativo e per quanto di competenza, il piano</w:t>
      </w:r>
      <w:r w:rsidRPr="00B162C4">
        <w:t xml:space="preserve"> di</w:t>
      </w:r>
      <w:r>
        <w:t xml:space="preserve"> riordino delle partecipazioni societarie afferenti la gestione del servizio integrato dei rifiuti urbani descritto in premessa narrativa e delineato negli atti nella stessa richiamati;</w:t>
      </w:r>
    </w:p>
    <w:p w:rsidR="00927569" w:rsidRPr="00D30A91" w:rsidRDefault="00927569" w:rsidP="00914BCF">
      <w:pPr>
        <w:pStyle w:val="ListParagraph"/>
        <w:numPr>
          <w:ilvl w:val="0"/>
          <w:numId w:val="10"/>
        </w:numPr>
        <w:spacing w:after="0" w:line="288" w:lineRule="auto"/>
        <w:ind w:left="426" w:hanging="357"/>
        <w:jc w:val="both"/>
      </w:pPr>
      <w:r w:rsidRPr="00D30A91">
        <w:t xml:space="preserve">di </w:t>
      </w:r>
      <w:r>
        <w:t xml:space="preserve">prendere atto della perizia di B.D.O. Italia S.p.A., </w:t>
      </w:r>
      <w:r w:rsidRPr="00032CA3">
        <w:rPr>
          <w:b/>
        </w:rPr>
        <w:t>allegato “A”,</w:t>
      </w:r>
      <w:r>
        <w:t xml:space="preserve"> parte integrante e sostanziale della presente deliberazione</w:t>
      </w:r>
      <w:r w:rsidRPr="00D30A91">
        <w:t>;</w:t>
      </w:r>
    </w:p>
    <w:p w:rsidR="00927569" w:rsidRPr="00D30A91" w:rsidRDefault="00927569" w:rsidP="00914BCF">
      <w:pPr>
        <w:pStyle w:val="ListParagraph"/>
        <w:numPr>
          <w:ilvl w:val="0"/>
          <w:numId w:val="10"/>
        </w:numPr>
        <w:spacing w:after="0" w:line="288" w:lineRule="auto"/>
        <w:ind w:left="425" w:hanging="357"/>
        <w:jc w:val="both"/>
      </w:pPr>
      <w:r>
        <w:t xml:space="preserve">di approvare </w:t>
      </w:r>
      <w:r w:rsidRPr="00D30A91">
        <w:t>lo statuto d</w:t>
      </w:r>
      <w:r>
        <w:t xml:space="preserve">i </w:t>
      </w:r>
      <w:r>
        <w:rPr>
          <w:rFonts w:eastAsia="SimSun"/>
        </w:rPr>
        <w:t xml:space="preserve">Geofor S.p.A. </w:t>
      </w:r>
      <w:r w:rsidRPr="00D30A91">
        <w:rPr>
          <w:rFonts w:eastAsia="SimSun"/>
        </w:rPr>
        <w:t xml:space="preserve">come da </w:t>
      </w:r>
      <w:r w:rsidRPr="00032CA3">
        <w:rPr>
          <w:rFonts w:eastAsia="SimSun"/>
          <w:b/>
        </w:rPr>
        <w:t>allegato “B”</w:t>
      </w:r>
      <w:r>
        <w:rPr>
          <w:rFonts w:eastAsia="SimSun"/>
        </w:rPr>
        <w:t xml:space="preserve">, </w:t>
      </w:r>
      <w:r w:rsidRPr="00D30A91">
        <w:rPr>
          <w:rFonts w:eastAsia="SimSun"/>
        </w:rPr>
        <w:t>parte integrante e sostanziale della presente deliberazione;</w:t>
      </w:r>
    </w:p>
    <w:p w:rsidR="00927569" w:rsidRDefault="00927569" w:rsidP="00914BCF">
      <w:pPr>
        <w:pStyle w:val="ListParagraph"/>
        <w:numPr>
          <w:ilvl w:val="0"/>
          <w:numId w:val="10"/>
        </w:numPr>
        <w:spacing w:after="0" w:line="288" w:lineRule="auto"/>
        <w:ind w:left="425" w:hanging="357"/>
        <w:jc w:val="both"/>
      </w:pPr>
      <w:r>
        <w:t xml:space="preserve">di approvare lo statuto di RetiAmbiente S.p.A, </w:t>
      </w:r>
      <w:r w:rsidRPr="00032CA3">
        <w:rPr>
          <w:b/>
        </w:rPr>
        <w:t>allegato “C”</w:t>
      </w:r>
      <w:r>
        <w:t>, parte integrante e sostanziale della presente deliberazione;</w:t>
      </w:r>
    </w:p>
    <w:p w:rsidR="00927569" w:rsidRPr="00D30A91" w:rsidRDefault="00927569" w:rsidP="00914BCF">
      <w:pPr>
        <w:pStyle w:val="ListParagraph"/>
        <w:numPr>
          <w:ilvl w:val="0"/>
          <w:numId w:val="10"/>
        </w:numPr>
        <w:spacing w:after="0" w:line="288" w:lineRule="auto"/>
        <w:ind w:left="425" w:hanging="357"/>
        <w:jc w:val="both"/>
      </w:pPr>
      <w:r w:rsidRPr="00D30A91">
        <w:t>d</w:t>
      </w:r>
      <w:r>
        <w:t xml:space="preserve">i aderire </w:t>
      </w:r>
      <w:r w:rsidRPr="00D30A91">
        <w:t xml:space="preserve">al previsto aumento di capitale di RetiAmbiente </w:t>
      </w:r>
      <w:r>
        <w:t>S.p.A.</w:t>
      </w:r>
      <w:r w:rsidRPr="00D30A91">
        <w:t>;</w:t>
      </w:r>
    </w:p>
    <w:p w:rsidR="00927569" w:rsidRPr="00C960C0" w:rsidRDefault="00927569" w:rsidP="00914BCF">
      <w:pPr>
        <w:pStyle w:val="ListParagraph"/>
        <w:numPr>
          <w:ilvl w:val="0"/>
          <w:numId w:val="10"/>
        </w:numPr>
        <w:spacing w:after="0" w:line="288" w:lineRule="auto"/>
        <w:ind w:left="425" w:hanging="357"/>
        <w:jc w:val="both"/>
      </w:pPr>
      <w:r w:rsidRPr="00844DDD">
        <w:t xml:space="preserve">di procedere al conferimento, a titolo di sottoscrizione dell’aumento di capitale suddetto, della partecipazione detenuta dal Comune in </w:t>
      </w:r>
      <w:r w:rsidRPr="00844DDD">
        <w:rPr>
          <w:rFonts w:eastAsia="SimSun"/>
        </w:rPr>
        <w:t>Geofor S.p.A.</w:t>
      </w:r>
      <w:r w:rsidRPr="00844DDD">
        <w:t>, corrispondente a n. 2.430 azioni, aventi valore nominale complessivo di € 1.263,60, per un valore economico di € 6.565,67</w:t>
      </w:r>
      <w:r w:rsidRPr="00844DDD">
        <w:rPr>
          <w:rFonts w:eastAsia="SimSun"/>
        </w:rPr>
        <w:t>;</w:t>
      </w:r>
    </w:p>
    <w:p w:rsidR="00927569" w:rsidRPr="00844DDD" w:rsidRDefault="00927569" w:rsidP="00914BCF">
      <w:pPr>
        <w:pStyle w:val="ListParagraph"/>
        <w:numPr>
          <w:ilvl w:val="0"/>
          <w:numId w:val="10"/>
        </w:numPr>
        <w:spacing w:after="0" w:line="288" w:lineRule="auto"/>
        <w:ind w:left="425" w:hanging="357"/>
        <w:jc w:val="both"/>
      </w:pPr>
      <w:r>
        <w:rPr>
          <w:rFonts w:eastAsia="SimSun"/>
        </w:rPr>
        <w:t>di autorizzare ai sensi dell’art. 2357 c.c. la Società Geofor Spa ad acquistare le n. 2.080.000 azioni di categoria B attualmente detenute dal socio privato, dando mandato al Sindaco o suo delegato a partecipare all’Assemblea dei soci di Geofor Spa che si terrà il prossimo 22.12.2015;</w:t>
      </w:r>
    </w:p>
    <w:p w:rsidR="00927569" w:rsidRPr="003A6B2C" w:rsidRDefault="00927569" w:rsidP="00914BCF">
      <w:pPr>
        <w:pStyle w:val="ListParagraph"/>
        <w:numPr>
          <w:ilvl w:val="0"/>
          <w:numId w:val="10"/>
        </w:numPr>
        <w:spacing w:after="0" w:line="288" w:lineRule="auto"/>
        <w:ind w:left="425" w:hanging="357"/>
        <w:jc w:val="both"/>
      </w:pPr>
      <w:r w:rsidRPr="003A6B2C">
        <w:t xml:space="preserve">di autorizzare il Sindaco, o suo delegato, a </w:t>
      </w:r>
      <w:r>
        <w:t>partecipare alle assemblee di Geofor S.p.A. e di  RetiAmbiente S.p.A., autorizzando altresì il Sindaco, i dirigenti, i funzionari e ogni altro organo competente dell’amministrazione comunale a provvedere agli atti occorrenti all’attuazione della presente deliberazione,</w:t>
      </w:r>
      <w:r w:rsidRPr="00450349">
        <w:t xml:space="preserve"> con facoltà di apportare a quanto deliberato le eventuali modifiche non sostanziali che si rendessero eventualmente necessarie</w:t>
      </w:r>
      <w:r>
        <w:t>;</w:t>
      </w:r>
    </w:p>
    <w:p w:rsidR="00927569" w:rsidRPr="00BB30A8" w:rsidRDefault="00927569" w:rsidP="00914BCF">
      <w:pPr>
        <w:pStyle w:val="ListParagraph"/>
        <w:numPr>
          <w:ilvl w:val="0"/>
          <w:numId w:val="10"/>
        </w:numPr>
        <w:spacing w:after="0" w:line="288" w:lineRule="auto"/>
        <w:ind w:left="425" w:hanging="357"/>
        <w:jc w:val="both"/>
      </w:pPr>
      <w:r w:rsidRPr="00661B6C">
        <w:t>di trasmettere la presente deliberazione alla Corte dei Conti, Sezione regionale di controllo per la Toscana, ai sensi dell’art. 3,</w:t>
      </w:r>
      <w:r>
        <w:t xml:space="preserve"> comma 28, della Legge 244/2007.</w:t>
      </w:r>
    </w:p>
    <w:p w:rsidR="00927569" w:rsidRPr="00661B6C" w:rsidRDefault="00927569" w:rsidP="00661B6C">
      <w:pPr>
        <w:spacing w:after="0"/>
        <w:ind w:left="68"/>
        <w:jc w:val="both"/>
      </w:pPr>
    </w:p>
    <w:p w:rsidR="00927569" w:rsidRPr="00B7500C" w:rsidRDefault="00927569" w:rsidP="005865BD">
      <w:pPr>
        <w:jc w:val="center"/>
        <w:rPr>
          <w:b/>
        </w:rPr>
      </w:pPr>
      <w:r w:rsidRPr="00B7500C">
        <w:rPr>
          <w:b/>
        </w:rPr>
        <w:t xml:space="preserve">DELIBERA altresì, </w:t>
      </w:r>
    </w:p>
    <w:p w:rsidR="00927569" w:rsidRDefault="00927569" w:rsidP="00821E3A">
      <w:pPr>
        <w:spacing w:after="0"/>
        <w:jc w:val="both"/>
      </w:pPr>
      <w:r w:rsidRPr="00B7500C">
        <w:t xml:space="preserve">di dichiarare il presente atto immediatamente eseguibile ai </w:t>
      </w:r>
      <w:r>
        <w:t xml:space="preserve">sensi dell’art. 134 del </w:t>
      </w:r>
      <w:r w:rsidRPr="00B7500C">
        <w:t>T.U.E.L.</w:t>
      </w:r>
    </w:p>
    <w:sectPr w:rsidR="00927569" w:rsidSect="00EA48E6">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569" w:rsidRDefault="00927569" w:rsidP="005865BD">
      <w:pPr>
        <w:spacing w:after="0" w:line="240" w:lineRule="auto"/>
      </w:pPr>
      <w:r>
        <w:separator/>
      </w:r>
    </w:p>
  </w:endnote>
  <w:endnote w:type="continuationSeparator" w:id="0">
    <w:p w:rsidR="00927569" w:rsidRDefault="00927569" w:rsidP="00586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569" w:rsidRDefault="00927569" w:rsidP="005865BD">
      <w:pPr>
        <w:spacing w:after="0" w:line="240" w:lineRule="auto"/>
      </w:pPr>
      <w:r>
        <w:separator/>
      </w:r>
    </w:p>
  </w:footnote>
  <w:footnote w:type="continuationSeparator" w:id="0">
    <w:p w:rsidR="00927569" w:rsidRDefault="00927569" w:rsidP="005865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2F7"/>
    <w:multiLevelType w:val="hybridMultilevel"/>
    <w:tmpl w:val="1A7452B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3297C22"/>
    <w:multiLevelType w:val="hybridMultilevel"/>
    <w:tmpl w:val="F1F60D8E"/>
    <w:lvl w:ilvl="0" w:tplc="FEFE1C44">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
    <w:nsid w:val="08CB052A"/>
    <w:multiLevelType w:val="hybridMultilevel"/>
    <w:tmpl w:val="9468D9CC"/>
    <w:lvl w:ilvl="0" w:tplc="FEFE1C44">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nsid w:val="11645065"/>
    <w:multiLevelType w:val="hybridMultilevel"/>
    <w:tmpl w:val="0D6E75A6"/>
    <w:lvl w:ilvl="0" w:tplc="FEFE1C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F42E18"/>
    <w:multiLevelType w:val="hybridMultilevel"/>
    <w:tmpl w:val="21DC8044"/>
    <w:lvl w:ilvl="0" w:tplc="04100005">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
    <w:nsid w:val="182F6703"/>
    <w:multiLevelType w:val="hybridMultilevel"/>
    <w:tmpl w:val="37C4AB0C"/>
    <w:lvl w:ilvl="0" w:tplc="14204D7E">
      <w:numFmt w:val="bullet"/>
      <w:lvlText w:val="-"/>
      <w:lvlJc w:val="left"/>
      <w:pPr>
        <w:ind w:left="720" w:hanging="360"/>
      </w:pPr>
      <w:rPr>
        <w:rFonts w:ascii="Calibri" w:eastAsia="Times New Roman" w:hAnsi="Calibri"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3E7D22"/>
    <w:multiLevelType w:val="hybridMultilevel"/>
    <w:tmpl w:val="A9387D2E"/>
    <w:lvl w:ilvl="0" w:tplc="FEFE1C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BDA3A78"/>
    <w:multiLevelType w:val="hybridMultilevel"/>
    <w:tmpl w:val="C0946512"/>
    <w:lvl w:ilvl="0" w:tplc="04100005">
      <w:start w:val="1"/>
      <w:numFmt w:val="bullet"/>
      <w:lvlText w:val=""/>
      <w:lvlJc w:val="left"/>
      <w:pPr>
        <w:ind w:left="720" w:hanging="360"/>
      </w:pPr>
      <w:rPr>
        <w:rFonts w:ascii="Wingdings" w:hAnsi="Wingdings"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D9D50EF"/>
    <w:multiLevelType w:val="hybridMultilevel"/>
    <w:tmpl w:val="7C509B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DC65E7F"/>
    <w:multiLevelType w:val="hybridMultilevel"/>
    <w:tmpl w:val="F376A906"/>
    <w:lvl w:ilvl="0" w:tplc="FEFE1C44">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0">
    <w:nsid w:val="26030D41"/>
    <w:multiLevelType w:val="hybridMultilevel"/>
    <w:tmpl w:val="481264CE"/>
    <w:lvl w:ilvl="0" w:tplc="FEFE1C44">
      <w:start w:val="1"/>
      <w:numFmt w:val="bullet"/>
      <w:lvlText w:val=""/>
      <w:lvlJc w:val="left"/>
      <w:pPr>
        <w:ind w:left="786" w:hanging="360"/>
      </w:pPr>
      <w:rPr>
        <w:rFonts w:ascii="Symbol" w:hAnsi="Symbol" w:hint="default"/>
      </w:rPr>
    </w:lvl>
    <w:lvl w:ilvl="1" w:tplc="04100003">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1">
    <w:nsid w:val="2784298F"/>
    <w:multiLevelType w:val="hybridMultilevel"/>
    <w:tmpl w:val="2B7CC2A8"/>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7E12920"/>
    <w:multiLevelType w:val="hybridMultilevel"/>
    <w:tmpl w:val="D84C6E84"/>
    <w:lvl w:ilvl="0" w:tplc="FEFE1C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9B012A4"/>
    <w:multiLevelType w:val="hybridMultilevel"/>
    <w:tmpl w:val="7CDC8666"/>
    <w:lvl w:ilvl="0" w:tplc="FEFE1C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FAD2DF7"/>
    <w:multiLevelType w:val="hybridMultilevel"/>
    <w:tmpl w:val="0E3EE54A"/>
    <w:lvl w:ilvl="0" w:tplc="44249C6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0320D6F"/>
    <w:multiLevelType w:val="hybridMultilevel"/>
    <w:tmpl w:val="E0360A44"/>
    <w:lvl w:ilvl="0" w:tplc="5C967698">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40710EE"/>
    <w:multiLevelType w:val="hybridMultilevel"/>
    <w:tmpl w:val="81C83F3E"/>
    <w:lvl w:ilvl="0" w:tplc="5C967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5B4439B"/>
    <w:multiLevelType w:val="hybridMultilevel"/>
    <w:tmpl w:val="7096ABF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48966A03"/>
    <w:multiLevelType w:val="hybridMultilevel"/>
    <w:tmpl w:val="70583FF4"/>
    <w:lvl w:ilvl="0" w:tplc="5C967698">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9">
    <w:nsid w:val="4FCF1022"/>
    <w:multiLevelType w:val="hybridMultilevel"/>
    <w:tmpl w:val="5000878E"/>
    <w:lvl w:ilvl="0" w:tplc="FEFE1C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119610E"/>
    <w:multiLevelType w:val="hybridMultilevel"/>
    <w:tmpl w:val="2E4EB52E"/>
    <w:lvl w:ilvl="0" w:tplc="5C967698">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1">
    <w:nsid w:val="51FB5C55"/>
    <w:multiLevelType w:val="hybridMultilevel"/>
    <w:tmpl w:val="693213D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5CEC24AD"/>
    <w:multiLevelType w:val="hybridMultilevel"/>
    <w:tmpl w:val="75C209FC"/>
    <w:lvl w:ilvl="0" w:tplc="5C967698">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3">
    <w:nsid w:val="63FD215F"/>
    <w:multiLevelType w:val="hybridMultilevel"/>
    <w:tmpl w:val="E52443A2"/>
    <w:lvl w:ilvl="0" w:tplc="FA10D34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5AC345B"/>
    <w:multiLevelType w:val="hybridMultilevel"/>
    <w:tmpl w:val="79029EC8"/>
    <w:lvl w:ilvl="0" w:tplc="FEFE1C44">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5">
    <w:nsid w:val="66034555"/>
    <w:multiLevelType w:val="hybridMultilevel"/>
    <w:tmpl w:val="1D8E5046"/>
    <w:lvl w:ilvl="0" w:tplc="FEFE1C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A4809B3"/>
    <w:multiLevelType w:val="hybridMultilevel"/>
    <w:tmpl w:val="7A4E8E6C"/>
    <w:lvl w:ilvl="0" w:tplc="FEFE1C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FA60B62"/>
    <w:multiLevelType w:val="hybridMultilevel"/>
    <w:tmpl w:val="A5DA4CC2"/>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8">
    <w:nsid w:val="70397865"/>
    <w:multiLevelType w:val="hybridMultilevel"/>
    <w:tmpl w:val="400A4D68"/>
    <w:lvl w:ilvl="0" w:tplc="05CA9228">
      <w:start w:val="1"/>
      <w:numFmt w:val="decimal"/>
      <w:lvlText w:val="%1."/>
      <w:lvlJc w:val="left"/>
      <w:pPr>
        <w:ind w:left="-7295" w:hanging="360"/>
      </w:pPr>
      <w:rPr>
        <w:rFonts w:cs="Times New Roman" w:hint="default"/>
        <w:b/>
        <w:color w:val="auto"/>
      </w:rPr>
    </w:lvl>
    <w:lvl w:ilvl="1" w:tplc="04100019">
      <w:start w:val="1"/>
      <w:numFmt w:val="lowerLetter"/>
      <w:lvlText w:val="%2."/>
      <w:lvlJc w:val="left"/>
      <w:pPr>
        <w:ind w:left="-6575" w:hanging="360"/>
      </w:pPr>
      <w:rPr>
        <w:rFonts w:cs="Times New Roman"/>
      </w:rPr>
    </w:lvl>
    <w:lvl w:ilvl="2" w:tplc="0410001B" w:tentative="1">
      <w:start w:val="1"/>
      <w:numFmt w:val="lowerRoman"/>
      <w:lvlText w:val="%3."/>
      <w:lvlJc w:val="right"/>
      <w:pPr>
        <w:ind w:left="-5855" w:hanging="180"/>
      </w:pPr>
      <w:rPr>
        <w:rFonts w:cs="Times New Roman"/>
      </w:rPr>
    </w:lvl>
    <w:lvl w:ilvl="3" w:tplc="0410000F" w:tentative="1">
      <w:start w:val="1"/>
      <w:numFmt w:val="decimal"/>
      <w:lvlText w:val="%4."/>
      <w:lvlJc w:val="left"/>
      <w:pPr>
        <w:ind w:left="-5135" w:hanging="360"/>
      </w:pPr>
      <w:rPr>
        <w:rFonts w:cs="Times New Roman"/>
      </w:rPr>
    </w:lvl>
    <w:lvl w:ilvl="4" w:tplc="04100019" w:tentative="1">
      <w:start w:val="1"/>
      <w:numFmt w:val="lowerLetter"/>
      <w:lvlText w:val="%5."/>
      <w:lvlJc w:val="left"/>
      <w:pPr>
        <w:ind w:left="-4415" w:hanging="360"/>
      </w:pPr>
      <w:rPr>
        <w:rFonts w:cs="Times New Roman"/>
      </w:rPr>
    </w:lvl>
    <w:lvl w:ilvl="5" w:tplc="0410001B" w:tentative="1">
      <w:start w:val="1"/>
      <w:numFmt w:val="lowerRoman"/>
      <w:lvlText w:val="%6."/>
      <w:lvlJc w:val="right"/>
      <w:pPr>
        <w:ind w:left="-3695" w:hanging="180"/>
      </w:pPr>
      <w:rPr>
        <w:rFonts w:cs="Times New Roman"/>
      </w:rPr>
    </w:lvl>
    <w:lvl w:ilvl="6" w:tplc="0410000F" w:tentative="1">
      <w:start w:val="1"/>
      <w:numFmt w:val="decimal"/>
      <w:lvlText w:val="%7."/>
      <w:lvlJc w:val="left"/>
      <w:pPr>
        <w:ind w:left="-2975" w:hanging="360"/>
      </w:pPr>
      <w:rPr>
        <w:rFonts w:cs="Times New Roman"/>
      </w:rPr>
    </w:lvl>
    <w:lvl w:ilvl="7" w:tplc="04100019" w:tentative="1">
      <w:start w:val="1"/>
      <w:numFmt w:val="lowerLetter"/>
      <w:lvlText w:val="%8."/>
      <w:lvlJc w:val="left"/>
      <w:pPr>
        <w:ind w:left="-2255" w:hanging="360"/>
      </w:pPr>
      <w:rPr>
        <w:rFonts w:cs="Times New Roman"/>
      </w:rPr>
    </w:lvl>
    <w:lvl w:ilvl="8" w:tplc="0410001B" w:tentative="1">
      <w:start w:val="1"/>
      <w:numFmt w:val="lowerRoman"/>
      <w:lvlText w:val="%9."/>
      <w:lvlJc w:val="right"/>
      <w:pPr>
        <w:ind w:left="-1535" w:hanging="180"/>
      </w:pPr>
      <w:rPr>
        <w:rFonts w:cs="Times New Roman"/>
      </w:rPr>
    </w:lvl>
  </w:abstractNum>
  <w:abstractNum w:abstractNumId="29">
    <w:nsid w:val="7281173F"/>
    <w:multiLevelType w:val="hybridMultilevel"/>
    <w:tmpl w:val="EF8EA3F0"/>
    <w:lvl w:ilvl="0" w:tplc="FEFE1C44">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7D0B7166"/>
    <w:multiLevelType w:val="hybridMultilevel"/>
    <w:tmpl w:val="620CD2B0"/>
    <w:lvl w:ilvl="0" w:tplc="5C967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E956899"/>
    <w:multiLevelType w:val="hybridMultilevel"/>
    <w:tmpl w:val="05306442"/>
    <w:lvl w:ilvl="0" w:tplc="B3265434">
      <w:start w:val="1"/>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7EC813E2"/>
    <w:multiLevelType w:val="hybridMultilevel"/>
    <w:tmpl w:val="59C2E050"/>
    <w:lvl w:ilvl="0" w:tplc="E3ACE4B8">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1"/>
  </w:num>
  <w:num w:numId="4">
    <w:abstractNumId w:val="25"/>
  </w:num>
  <w:num w:numId="5">
    <w:abstractNumId w:val="3"/>
  </w:num>
  <w:num w:numId="6">
    <w:abstractNumId w:val="29"/>
  </w:num>
  <w:num w:numId="7">
    <w:abstractNumId w:val="15"/>
  </w:num>
  <w:num w:numId="8">
    <w:abstractNumId w:val="32"/>
  </w:num>
  <w:num w:numId="9">
    <w:abstractNumId w:val="4"/>
  </w:num>
  <w:num w:numId="10">
    <w:abstractNumId w:val="0"/>
  </w:num>
  <w:num w:numId="11">
    <w:abstractNumId w:val="30"/>
  </w:num>
  <w:num w:numId="12">
    <w:abstractNumId w:val="7"/>
  </w:num>
  <w:num w:numId="13">
    <w:abstractNumId w:val="18"/>
  </w:num>
  <w:num w:numId="14">
    <w:abstractNumId w:val="10"/>
  </w:num>
  <w:num w:numId="15">
    <w:abstractNumId w:val="24"/>
  </w:num>
  <w:num w:numId="16">
    <w:abstractNumId w:val="13"/>
  </w:num>
  <w:num w:numId="17">
    <w:abstractNumId w:val="21"/>
  </w:num>
  <w:num w:numId="18">
    <w:abstractNumId w:val="16"/>
  </w:num>
  <w:num w:numId="19">
    <w:abstractNumId w:val="20"/>
  </w:num>
  <w:num w:numId="20">
    <w:abstractNumId w:val="22"/>
  </w:num>
  <w:num w:numId="21">
    <w:abstractNumId w:val="6"/>
  </w:num>
  <w:num w:numId="22">
    <w:abstractNumId w:val="27"/>
  </w:num>
  <w:num w:numId="23">
    <w:abstractNumId w:val="9"/>
  </w:num>
  <w:num w:numId="24">
    <w:abstractNumId w:val="11"/>
  </w:num>
  <w:num w:numId="25">
    <w:abstractNumId w:val="2"/>
  </w:num>
  <w:num w:numId="26">
    <w:abstractNumId w:val="19"/>
  </w:num>
  <w:num w:numId="27">
    <w:abstractNumId w:val="12"/>
  </w:num>
  <w:num w:numId="28">
    <w:abstractNumId w:val="14"/>
  </w:num>
  <w:num w:numId="29">
    <w:abstractNumId w:val="26"/>
  </w:num>
  <w:num w:numId="30">
    <w:abstractNumId w:val="5"/>
  </w:num>
  <w:num w:numId="31">
    <w:abstractNumId w:val="23"/>
  </w:num>
  <w:num w:numId="32">
    <w:abstractNumId w:val="17"/>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0F5B"/>
    <w:rsid w:val="000066E8"/>
    <w:rsid w:val="00023BCE"/>
    <w:rsid w:val="00026CFD"/>
    <w:rsid w:val="00032CA3"/>
    <w:rsid w:val="00056785"/>
    <w:rsid w:val="00085C65"/>
    <w:rsid w:val="00087D4C"/>
    <w:rsid w:val="0009196D"/>
    <w:rsid w:val="000B573A"/>
    <w:rsid w:val="000C2006"/>
    <w:rsid w:val="000D30C2"/>
    <w:rsid w:val="00110299"/>
    <w:rsid w:val="0011470B"/>
    <w:rsid w:val="00123F99"/>
    <w:rsid w:val="00125739"/>
    <w:rsid w:val="00136151"/>
    <w:rsid w:val="00144167"/>
    <w:rsid w:val="0016293B"/>
    <w:rsid w:val="00191046"/>
    <w:rsid w:val="001B6467"/>
    <w:rsid w:val="001C0063"/>
    <w:rsid w:val="002013B7"/>
    <w:rsid w:val="00206BC4"/>
    <w:rsid w:val="00207DBE"/>
    <w:rsid w:val="00225A24"/>
    <w:rsid w:val="00236202"/>
    <w:rsid w:val="00241689"/>
    <w:rsid w:val="00247B07"/>
    <w:rsid w:val="00262BEE"/>
    <w:rsid w:val="00274DC2"/>
    <w:rsid w:val="00277354"/>
    <w:rsid w:val="002A003E"/>
    <w:rsid w:val="002B077D"/>
    <w:rsid w:val="002C03DE"/>
    <w:rsid w:val="002C4F8B"/>
    <w:rsid w:val="002E1A6C"/>
    <w:rsid w:val="002F693F"/>
    <w:rsid w:val="00341A86"/>
    <w:rsid w:val="0036156E"/>
    <w:rsid w:val="00373780"/>
    <w:rsid w:val="00392072"/>
    <w:rsid w:val="003A191C"/>
    <w:rsid w:val="003A42AC"/>
    <w:rsid w:val="003A6B2C"/>
    <w:rsid w:val="003B378E"/>
    <w:rsid w:val="003D350E"/>
    <w:rsid w:val="003D5B05"/>
    <w:rsid w:val="003E2AB6"/>
    <w:rsid w:val="00417F84"/>
    <w:rsid w:val="00427DE1"/>
    <w:rsid w:val="00432146"/>
    <w:rsid w:val="00450349"/>
    <w:rsid w:val="00461701"/>
    <w:rsid w:val="004767CE"/>
    <w:rsid w:val="00477843"/>
    <w:rsid w:val="00494574"/>
    <w:rsid w:val="004B1403"/>
    <w:rsid w:val="004D4F34"/>
    <w:rsid w:val="005335E5"/>
    <w:rsid w:val="00547B72"/>
    <w:rsid w:val="00551AAD"/>
    <w:rsid w:val="005548F4"/>
    <w:rsid w:val="0055639B"/>
    <w:rsid w:val="00574A7D"/>
    <w:rsid w:val="00576600"/>
    <w:rsid w:val="005767A4"/>
    <w:rsid w:val="005865BD"/>
    <w:rsid w:val="005877D3"/>
    <w:rsid w:val="00591105"/>
    <w:rsid w:val="005D21CF"/>
    <w:rsid w:val="005F15E4"/>
    <w:rsid w:val="005F7AEB"/>
    <w:rsid w:val="006016D5"/>
    <w:rsid w:val="00611B98"/>
    <w:rsid w:val="00661B6C"/>
    <w:rsid w:val="006711D7"/>
    <w:rsid w:val="006829E8"/>
    <w:rsid w:val="006C5033"/>
    <w:rsid w:val="006E1F11"/>
    <w:rsid w:val="00707562"/>
    <w:rsid w:val="00711C2E"/>
    <w:rsid w:val="00714EC8"/>
    <w:rsid w:val="007411E4"/>
    <w:rsid w:val="00774F24"/>
    <w:rsid w:val="0077647A"/>
    <w:rsid w:val="0078715C"/>
    <w:rsid w:val="007A4266"/>
    <w:rsid w:val="007B1C31"/>
    <w:rsid w:val="007E3F66"/>
    <w:rsid w:val="007E6C2D"/>
    <w:rsid w:val="00821E3A"/>
    <w:rsid w:val="00831671"/>
    <w:rsid w:val="00835AF8"/>
    <w:rsid w:val="00844DDD"/>
    <w:rsid w:val="00851D05"/>
    <w:rsid w:val="00870F5B"/>
    <w:rsid w:val="00896204"/>
    <w:rsid w:val="008B5D09"/>
    <w:rsid w:val="008B7131"/>
    <w:rsid w:val="008C1255"/>
    <w:rsid w:val="008E32CB"/>
    <w:rsid w:val="00914BCF"/>
    <w:rsid w:val="00922E0D"/>
    <w:rsid w:val="0092487D"/>
    <w:rsid w:val="00927569"/>
    <w:rsid w:val="009409A1"/>
    <w:rsid w:val="00954926"/>
    <w:rsid w:val="00992015"/>
    <w:rsid w:val="009B0447"/>
    <w:rsid w:val="009B1180"/>
    <w:rsid w:val="009D688D"/>
    <w:rsid w:val="009F3F49"/>
    <w:rsid w:val="009F78CC"/>
    <w:rsid w:val="00A06A57"/>
    <w:rsid w:val="00A77437"/>
    <w:rsid w:val="00A8090C"/>
    <w:rsid w:val="00A86086"/>
    <w:rsid w:val="00A94E2E"/>
    <w:rsid w:val="00AA3EFE"/>
    <w:rsid w:val="00AA6858"/>
    <w:rsid w:val="00AB2F5A"/>
    <w:rsid w:val="00AC225D"/>
    <w:rsid w:val="00AD3BB4"/>
    <w:rsid w:val="00AD5511"/>
    <w:rsid w:val="00AF3C13"/>
    <w:rsid w:val="00B11B8C"/>
    <w:rsid w:val="00B162C4"/>
    <w:rsid w:val="00B32934"/>
    <w:rsid w:val="00B5655F"/>
    <w:rsid w:val="00B62A4D"/>
    <w:rsid w:val="00B637D2"/>
    <w:rsid w:val="00B7500C"/>
    <w:rsid w:val="00B763CB"/>
    <w:rsid w:val="00B81FAA"/>
    <w:rsid w:val="00BB30A8"/>
    <w:rsid w:val="00BF064F"/>
    <w:rsid w:val="00C244CE"/>
    <w:rsid w:val="00C30B84"/>
    <w:rsid w:val="00C37236"/>
    <w:rsid w:val="00C66332"/>
    <w:rsid w:val="00C72F04"/>
    <w:rsid w:val="00C765E7"/>
    <w:rsid w:val="00C93DAA"/>
    <w:rsid w:val="00C94B3B"/>
    <w:rsid w:val="00C960C0"/>
    <w:rsid w:val="00CC7709"/>
    <w:rsid w:val="00CC7854"/>
    <w:rsid w:val="00CD4A08"/>
    <w:rsid w:val="00CE5E03"/>
    <w:rsid w:val="00CF30B0"/>
    <w:rsid w:val="00D1079F"/>
    <w:rsid w:val="00D268E6"/>
    <w:rsid w:val="00D30A91"/>
    <w:rsid w:val="00D3633F"/>
    <w:rsid w:val="00D503A3"/>
    <w:rsid w:val="00D52BC8"/>
    <w:rsid w:val="00D56EF8"/>
    <w:rsid w:val="00D60941"/>
    <w:rsid w:val="00D60DAA"/>
    <w:rsid w:val="00D82A3E"/>
    <w:rsid w:val="00D84A4F"/>
    <w:rsid w:val="00D91E3A"/>
    <w:rsid w:val="00D93D67"/>
    <w:rsid w:val="00DB21C0"/>
    <w:rsid w:val="00DE18FD"/>
    <w:rsid w:val="00DE4FBB"/>
    <w:rsid w:val="00DF1B98"/>
    <w:rsid w:val="00E00E53"/>
    <w:rsid w:val="00E242FC"/>
    <w:rsid w:val="00E35CBD"/>
    <w:rsid w:val="00E3670C"/>
    <w:rsid w:val="00E716E3"/>
    <w:rsid w:val="00E76BD3"/>
    <w:rsid w:val="00EA0063"/>
    <w:rsid w:val="00EA48E6"/>
    <w:rsid w:val="00ED0291"/>
    <w:rsid w:val="00ED3FF7"/>
    <w:rsid w:val="00F0698B"/>
    <w:rsid w:val="00F366BB"/>
    <w:rsid w:val="00F4653F"/>
    <w:rsid w:val="00F47E7C"/>
    <w:rsid w:val="00F56C4A"/>
    <w:rsid w:val="00F616F0"/>
    <w:rsid w:val="00F759C5"/>
    <w:rsid w:val="00F85F0E"/>
    <w:rsid w:val="00F90DA0"/>
    <w:rsid w:val="00FB0CC4"/>
    <w:rsid w:val="00FB42CF"/>
    <w:rsid w:val="00FC2F6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E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65BD"/>
    <w:pPr>
      <w:spacing w:after="200" w:line="276" w:lineRule="auto"/>
      <w:ind w:left="720"/>
      <w:contextualSpacing/>
    </w:pPr>
  </w:style>
  <w:style w:type="paragraph" w:styleId="BodyText">
    <w:name w:val="Body Text"/>
    <w:basedOn w:val="Normal"/>
    <w:link w:val="BodyTextChar"/>
    <w:uiPriority w:val="99"/>
    <w:rsid w:val="005865BD"/>
    <w:pPr>
      <w:spacing w:after="0" w:line="240" w:lineRule="auto"/>
      <w:jc w:val="both"/>
    </w:pPr>
    <w:rPr>
      <w:rFonts w:ascii="Times New Roman" w:eastAsia="Times New Roman" w:hAnsi="Times New Roman"/>
      <w:sz w:val="20"/>
      <w:szCs w:val="20"/>
    </w:rPr>
  </w:style>
  <w:style w:type="character" w:customStyle="1" w:styleId="BodyTextChar">
    <w:name w:val="Body Text Char"/>
    <w:basedOn w:val="DefaultParagraphFont"/>
    <w:link w:val="BodyText"/>
    <w:uiPriority w:val="99"/>
    <w:locked/>
    <w:rsid w:val="005865BD"/>
    <w:rPr>
      <w:rFonts w:ascii="Times New Roman" w:hAnsi="Times New Roman" w:cs="Times New Roman"/>
      <w:sz w:val="20"/>
      <w:szCs w:val="20"/>
    </w:rPr>
  </w:style>
  <w:style w:type="paragraph" w:styleId="FootnoteText">
    <w:name w:val="footnote text"/>
    <w:basedOn w:val="Normal"/>
    <w:link w:val="FootnoteTextChar"/>
    <w:uiPriority w:val="99"/>
    <w:semiHidden/>
    <w:rsid w:val="005865B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865BD"/>
    <w:rPr>
      <w:rFonts w:cs="Times New Roman"/>
      <w:sz w:val="20"/>
      <w:szCs w:val="20"/>
    </w:rPr>
  </w:style>
  <w:style w:type="character" w:styleId="FootnoteReference">
    <w:name w:val="footnote reference"/>
    <w:basedOn w:val="DefaultParagraphFont"/>
    <w:uiPriority w:val="99"/>
    <w:semiHidden/>
    <w:rsid w:val="005865BD"/>
    <w:rPr>
      <w:rFonts w:cs="Times New Roman"/>
      <w:vertAlign w:val="superscript"/>
    </w:rPr>
  </w:style>
  <w:style w:type="table" w:styleId="TableGrid">
    <w:name w:val="Table Grid"/>
    <w:basedOn w:val="TableNormal"/>
    <w:uiPriority w:val="99"/>
    <w:rsid w:val="00A94E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2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C225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54713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7</Pages>
  <Words>2970</Words>
  <Characters>16929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Benassi</dc:creator>
  <cp:keywords/>
  <dc:description/>
  <cp:lastModifiedBy> </cp:lastModifiedBy>
  <cp:revision>23</cp:revision>
  <cp:lastPrinted>2015-12-14T11:25:00Z</cp:lastPrinted>
  <dcterms:created xsi:type="dcterms:W3CDTF">2015-12-06T17:08:00Z</dcterms:created>
  <dcterms:modified xsi:type="dcterms:W3CDTF">2015-12-15T13:42:00Z</dcterms:modified>
</cp:coreProperties>
</file>